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F6573" w14:textId="23D7175C" w:rsidR="0031788E" w:rsidRPr="00A811DE" w:rsidRDefault="00F747B2" w:rsidP="0031788E">
      <w:pPr>
        <w:adjustRightInd w:val="0"/>
        <w:spacing w:line="480" w:lineRule="auto"/>
        <w:rPr>
          <w:rFonts w:ascii="Times New Roman" w:eastAsia="맑은 고딕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color w:val="231F20"/>
          <w:sz w:val="24"/>
          <w:szCs w:val="24"/>
        </w:rPr>
        <w:t>&lt;</w:t>
      </w:r>
      <w:r w:rsidR="0031788E"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Template</w:t>
      </w:r>
      <w:r w:rsidR="0031788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</w:rPr>
        <w:t xml:space="preserve"> for JYMS </w:t>
      </w:r>
      <w:r w:rsidR="009E34AC">
        <w:rPr>
          <w:rFonts w:ascii="Times New Roman" w:eastAsiaTheme="minorHAnsi" w:hAnsi="Times New Roman"/>
          <w:b/>
          <w:color w:val="231F20"/>
          <w:sz w:val="24"/>
          <w:szCs w:val="24"/>
        </w:rPr>
        <w:t>R</w:t>
      </w:r>
      <w:r w:rsidR="0031788E" w:rsidRPr="00A811DE">
        <w:rPr>
          <w:rFonts w:ascii="Times New Roman" w:eastAsia="맑은 고딕" w:hAnsi="Times New Roman" w:cs="Times New Roman"/>
          <w:b/>
          <w:bCs/>
          <w:sz w:val="24"/>
          <w:szCs w:val="24"/>
        </w:rPr>
        <w:t xml:space="preserve">esident </w:t>
      </w:r>
      <w:r w:rsidR="0031788E">
        <w:rPr>
          <w:rFonts w:ascii="Times New Roman" w:eastAsia="맑은 고딕" w:hAnsi="Times New Roman" w:cs="Times New Roman"/>
          <w:b/>
          <w:bCs/>
          <w:sz w:val="24"/>
          <w:szCs w:val="24"/>
        </w:rPr>
        <w:t>f</w:t>
      </w:r>
      <w:r w:rsidR="0031788E" w:rsidRPr="00A811DE">
        <w:rPr>
          <w:rFonts w:ascii="Times New Roman" w:eastAsia="맑은 고딕" w:hAnsi="Times New Roman" w:cs="Times New Roman"/>
          <w:b/>
          <w:bCs/>
          <w:sz w:val="24"/>
          <w:szCs w:val="24"/>
        </w:rPr>
        <w:t xml:space="preserve">ellow </w:t>
      </w:r>
      <w:r w:rsidR="0031788E">
        <w:rPr>
          <w:rFonts w:ascii="Times New Roman" w:eastAsia="맑은 고딕" w:hAnsi="Times New Roman" w:cs="Times New Roman"/>
          <w:b/>
          <w:bCs/>
          <w:sz w:val="24"/>
          <w:szCs w:val="24"/>
        </w:rPr>
        <w:t>s</w:t>
      </w:r>
      <w:r w:rsidR="0031788E" w:rsidRPr="00A811DE">
        <w:rPr>
          <w:rFonts w:ascii="Times New Roman" w:eastAsia="맑은 고딕" w:hAnsi="Times New Roman" w:cs="Times New Roman"/>
          <w:b/>
          <w:bCs/>
          <w:sz w:val="24"/>
          <w:szCs w:val="24"/>
        </w:rPr>
        <w:t>ection</w:t>
      </w:r>
      <w:r w:rsidR="0031788E">
        <w:rPr>
          <w:rFonts w:ascii="Times New Roman" w:eastAsia="맑은 고딕" w:hAnsi="Times New Roman" w:cs="Times New Roman"/>
          <w:b/>
          <w:bCs/>
          <w:sz w:val="24"/>
          <w:szCs w:val="24"/>
        </w:rPr>
        <w:t xml:space="preserve">: </w:t>
      </w:r>
      <w:r w:rsidR="00874D42">
        <w:rPr>
          <w:rFonts w:ascii="Times New Roman" w:eastAsia="맑은 고딕" w:hAnsi="Times New Roman" w:cs="Times New Roman"/>
          <w:b/>
          <w:bCs/>
          <w:sz w:val="24"/>
          <w:szCs w:val="24"/>
        </w:rPr>
        <w:t>c</w:t>
      </w:r>
      <w:r w:rsidR="0031788E">
        <w:rPr>
          <w:rFonts w:ascii="Times New Roman" w:eastAsia="맑은 고딕" w:hAnsi="Times New Roman" w:cs="Times New Roman"/>
          <w:b/>
          <w:bCs/>
          <w:sz w:val="24"/>
          <w:szCs w:val="24"/>
        </w:rPr>
        <w:t>linical vignette</w:t>
      </w:r>
      <w:r w:rsidR="009E34AC">
        <w:rPr>
          <w:rFonts w:ascii="Times New Roman" w:eastAsia="맑은 고딕" w:hAnsi="Times New Roman" w:cs="Times New Roman"/>
          <w:b/>
          <w:bCs/>
          <w:sz w:val="24"/>
          <w:szCs w:val="24"/>
        </w:rPr>
        <w:t>&gt;</w:t>
      </w:r>
    </w:p>
    <w:p w14:paraId="1BCDC5BF" w14:textId="77777777" w:rsidR="00244995" w:rsidRPr="0031788E" w:rsidRDefault="00244995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</w:p>
    <w:p w14:paraId="177F8AEB" w14:textId="4D1B09CB" w:rsidR="00FD3EAD" w:rsidRPr="0031788E" w:rsidRDefault="00FD3EAD" w:rsidP="00FD3EAD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t>Differential diagnosis of motor weakness in the right lower limb of a 59-year-old male patient</w:t>
      </w:r>
    </w:p>
    <w:p w14:paraId="0F3B3253" w14:textId="77777777" w:rsidR="00244995" w:rsidRPr="0031788E" w:rsidRDefault="00244995" w:rsidP="00244995">
      <w:pPr>
        <w:widowControl w:val="0"/>
        <w:snapToGrid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23AAB504" w14:textId="77777777" w:rsidR="0031788E" w:rsidRPr="00A811DE" w:rsidRDefault="0031788E" w:rsidP="0031788E">
      <w:pPr>
        <w:pStyle w:val="af3"/>
        <w:widowControl w:val="0"/>
        <w:wordWrap/>
        <w:snapToGrid w:val="0"/>
        <w:spacing w:line="480" w:lineRule="auto"/>
        <w:ind w:leftChars="-1" w:left="-2" w:firstLine="1"/>
        <w:contextualSpacing/>
        <w:rPr>
          <w:rFonts w:ascii="Times New Roman" w:eastAsia="맑은 고딕" w:hAnsi="Times New Roman" w:cs="Times New Roman"/>
          <w:color w:val="auto"/>
          <w:sz w:val="24"/>
          <w:szCs w:val="24"/>
        </w:rPr>
      </w:pPr>
      <w:r w:rsidRPr="00A811DE">
        <w:rPr>
          <w:rFonts w:ascii="Times New Roman" w:eastAsia="맑은 고딕" w:hAnsi="Times New Roman" w:cs="Times New Roman"/>
          <w:b/>
          <w:sz w:val="24"/>
          <w:szCs w:val="24"/>
        </w:rPr>
        <w:t>*</w:t>
      </w:r>
      <w:r w:rsidRPr="00A811D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The first author, </w:t>
      </w:r>
      <w:r>
        <w:rPr>
          <w:rFonts w:ascii="Times New Roman" w:eastAsia="맑은 고딕" w:hAnsi="Times New Roman" w:cs="Times New Roman"/>
          <w:color w:val="auto"/>
          <w:sz w:val="24"/>
          <w:szCs w:val="24"/>
        </w:rPr>
        <w:t>OOOOO</w:t>
      </w:r>
      <w:r w:rsidRPr="00A811DE">
        <w:rPr>
          <w:rFonts w:ascii="Times New Roman" w:eastAsia="맑은 고딕" w:hAnsi="Times New Roman" w:cs="Times New Roman"/>
          <w:color w:val="auto"/>
          <w:sz w:val="24"/>
          <w:szCs w:val="24"/>
        </w:rPr>
        <w:t>, is currently in training.</w:t>
      </w:r>
    </w:p>
    <w:p w14:paraId="53F6CF85" w14:textId="26F97CE1" w:rsidR="00AD7DD3" w:rsidRDefault="00AD7DD3">
      <w:pPr>
        <w:rPr>
          <w:rFonts w:ascii="Times New Roman" w:eastAsia="맑은 고딕" w:hAnsi="Times New Roman" w:cs="Times New Roman"/>
          <w:b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D42" w14:paraId="010CFEFE" w14:textId="77777777" w:rsidTr="00874D4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73017E" w14:textId="3C6FDCFC" w:rsidR="00874D42" w:rsidRDefault="00874D42" w:rsidP="005F5F61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48C7">
              <w:rPr>
                <w:rFonts w:ascii="Times New Roman" w:hAnsi="Times New Roman"/>
                <w:sz w:val="24"/>
                <w:szCs w:val="24"/>
                <w:lang w:eastAsia="de-CH"/>
              </w:rPr>
              <w:t>※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 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9E34AC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esident fellow section: clinical vignette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, authors should follow the </w:t>
            </w:r>
            <w:r w:rsidRPr="00A548C7">
              <w:rPr>
                <w:rFonts w:ascii="Times New Roman" w:hAnsi="Times New Roman"/>
                <w:bCs/>
                <w:sz w:val="24"/>
                <w:szCs w:val="24"/>
              </w:rPr>
              <w:t>CARE guideline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 (https://www.care-statement.org). Authors should upload a </w:t>
            </w:r>
            <w:r w:rsidRPr="00A548C7">
              <w:rPr>
                <w:rFonts w:ascii="Times New Roman" w:hAnsi="Times New Roman"/>
                <w:bCs/>
                <w:sz w:val="24"/>
                <w:szCs w:val="24"/>
              </w:rPr>
              <w:t xml:space="preserve">completed </w:t>
            </w:r>
            <w:r w:rsidRPr="00A548C7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completed CARE checklist (https://www.care-statement.org/checklist) 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for the appropriate reporting guideline during </w:t>
            </w:r>
            <w:r w:rsidR="005F5F61">
              <w:rPr>
                <w:rFonts w:ascii="Times New Roman" w:hAnsi="Times New Roman"/>
                <w:sz w:val="24"/>
                <w:szCs w:val="24"/>
              </w:rPr>
              <w:t xml:space="preserve">original 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>submission.</w:t>
            </w:r>
          </w:p>
        </w:tc>
      </w:tr>
    </w:tbl>
    <w:p w14:paraId="3A9B4AA7" w14:textId="77777777" w:rsidR="00874D42" w:rsidRPr="00A548C7" w:rsidRDefault="00874D42" w:rsidP="00874D42">
      <w:pPr>
        <w:pStyle w:val="af3"/>
        <w:spacing w:line="360" w:lineRule="auto"/>
        <w:rPr>
          <w:rFonts w:ascii="Times New Roman" w:hAnsi="Times New Roman"/>
          <w:sz w:val="24"/>
          <w:szCs w:val="24"/>
        </w:rPr>
      </w:pPr>
    </w:p>
    <w:p w14:paraId="15A51B6D" w14:textId="77777777" w:rsidR="00874D42" w:rsidRPr="00874D42" w:rsidRDefault="00874D42">
      <w:pPr>
        <w:rPr>
          <w:rFonts w:ascii="Times New Roman" w:eastAsia="맑은 고딕" w:hAnsi="Times New Roman" w:cs="Times New Roman"/>
          <w:b/>
          <w:sz w:val="24"/>
          <w:szCs w:val="24"/>
        </w:rPr>
      </w:pPr>
    </w:p>
    <w:p w14:paraId="3A46F426" w14:textId="7B750968" w:rsidR="00C71DB3" w:rsidRPr="0031788E" w:rsidRDefault="00672306" w:rsidP="00244995">
      <w:pPr>
        <w:pStyle w:val="af3"/>
        <w:widowControl w:val="0"/>
        <w:wordWrap/>
        <w:snapToGrid w:val="0"/>
        <w:spacing w:line="480" w:lineRule="auto"/>
        <w:contextualSpacing/>
        <w:rPr>
          <w:rFonts w:ascii="Times New Roman" w:eastAsia="맑은 고딕" w:hAnsi="Times New Roman" w:cs="Times New Roman"/>
          <w:b/>
          <w:color w:val="auto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color w:val="auto"/>
          <w:sz w:val="24"/>
          <w:szCs w:val="24"/>
        </w:rPr>
        <w:t>Patient information</w:t>
      </w:r>
    </w:p>
    <w:p w14:paraId="674EE34D" w14:textId="0A72A7AC" w:rsidR="008112A8" w:rsidRPr="0031788E" w:rsidRDefault="00672306" w:rsidP="00244995">
      <w:pPr>
        <w:pStyle w:val="af3"/>
        <w:widowControl w:val="0"/>
        <w:wordWrap/>
        <w:snapToGrid w:val="0"/>
        <w:spacing w:line="480" w:lineRule="auto"/>
        <w:contextualSpacing/>
        <w:rPr>
          <w:rFonts w:ascii="Times New Roman" w:eastAsia="맑은 고딕" w:hAnsi="Times New Roman" w:cs="Times New Roman"/>
          <w:color w:val="auto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A 59-year-old man visited the </w:t>
      </w:r>
      <w:r w:rsidR="00125E8E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spine center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of </w:t>
      </w:r>
      <w:r w:rsidR="00BA3F8B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Yeungnam University Hospital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for motor weakness in the right ankle</w:t>
      </w:r>
      <w:r w:rsidR="00BE54B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, which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started approximately 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1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year 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earlier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and slowly 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worsened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. At first, the ankle</w:t>
      </w:r>
      <w:r w:rsidR="004B5776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and toe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dorsiflexion weakened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.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T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he weakness 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then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gradually spread to </w:t>
      </w:r>
      <w:r w:rsidR="004B5776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more proximal muscles of the right lower limb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. The patient did not experience any sensory changes or pain.</w:t>
      </w:r>
      <w:r w:rsidR="004B5776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704863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Th</w:t>
      </w:r>
      <w:r w:rsidR="00C77B3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ere was no </w:t>
      </w:r>
      <w:r w:rsidR="00E4280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history of trauma related to motor weakness; </w:t>
      </w:r>
      <w:r w:rsidR="00AA644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however, he had been told that he had </w:t>
      </w:r>
      <w:r w:rsidR="00170F1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a spinal deformity in the lumbar </w:t>
      </w:r>
      <w:r w:rsidR="00AA644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vertebrae since </w:t>
      </w:r>
      <w:r w:rsidR="00170F1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childhood</w:t>
      </w:r>
      <w:r w:rsidR="00AA644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. </w:t>
      </w:r>
      <w:r w:rsidR="00C23C4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He had no medical history and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was not taking any medications</w:t>
      </w:r>
      <w:r w:rsidR="00A93450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.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</w:p>
    <w:p w14:paraId="4BC23265" w14:textId="77777777" w:rsidR="008112A8" w:rsidRPr="0031788E" w:rsidRDefault="008112A8" w:rsidP="00244995">
      <w:pPr>
        <w:pStyle w:val="af3"/>
        <w:widowControl w:val="0"/>
        <w:wordWrap/>
        <w:snapToGrid w:val="0"/>
        <w:spacing w:line="480" w:lineRule="auto"/>
        <w:contextualSpacing/>
        <w:rPr>
          <w:rFonts w:ascii="Times New Roman" w:eastAsia="맑은 고딕" w:hAnsi="Times New Roman" w:cs="Times New Roman"/>
          <w:color w:val="auto"/>
          <w:sz w:val="24"/>
          <w:szCs w:val="24"/>
        </w:rPr>
      </w:pPr>
    </w:p>
    <w:p w14:paraId="49476FDF" w14:textId="77777777" w:rsidR="008112A8" w:rsidRPr="0031788E" w:rsidRDefault="00672306" w:rsidP="00244995">
      <w:pPr>
        <w:pStyle w:val="af3"/>
        <w:widowControl w:val="0"/>
        <w:wordWrap/>
        <w:snapToGrid w:val="0"/>
        <w:spacing w:line="480" w:lineRule="auto"/>
        <w:contextualSpacing/>
        <w:rPr>
          <w:rFonts w:ascii="Times New Roman" w:eastAsia="맑은 고딕" w:hAnsi="Times New Roman" w:cs="Times New Roman"/>
          <w:b/>
          <w:bCs/>
          <w:color w:val="auto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bCs/>
          <w:color w:val="auto"/>
          <w:sz w:val="24"/>
          <w:szCs w:val="24"/>
        </w:rPr>
        <w:t xml:space="preserve">Clinical findings </w:t>
      </w:r>
    </w:p>
    <w:p w14:paraId="3D6CDC2C" w14:textId="1F3D0785" w:rsidR="00A76FE8" w:rsidRPr="0031788E" w:rsidRDefault="00672306" w:rsidP="00244995">
      <w:pPr>
        <w:pStyle w:val="af3"/>
        <w:widowControl w:val="0"/>
        <w:wordWrap/>
        <w:snapToGrid w:val="0"/>
        <w:spacing w:line="480" w:lineRule="auto"/>
        <w:contextualSpacing/>
        <w:rPr>
          <w:rFonts w:ascii="Times New Roman" w:eastAsia="맑은 고딕" w:hAnsi="Times New Roman" w:cs="Times New Roman"/>
          <w:color w:val="auto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On physical examination, muscle atrophy of the right lower extremity and fasciculation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at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lastRenderedPageBreak/>
        <w:t>multiple sites were observed.</w:t>
      </w:r>
      <w:r w:rsidR="008112A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However, tong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ue</w:t>
      </w:r>
      <w:r w:rsidR="008112A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fasciculation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</w:t>
      </w:r>
      <w:r w:rsidR="008112A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were not observed. 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In the manual muscle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-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strength test, the right knee flexor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and extensor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were 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found 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to be 3/5, and the right ankle dorsiflexor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and plantar</w:t>
      </w:r>
      <w:r w:rsidR="008932D2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flexor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were 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found 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to be 1/5 and 2/5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, respectively,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on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the </w:t>
      </w:r>
      <w:r w:rsidR="00953696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Medical Research Council</w:t>
      </w:r>
      <w:r w:rsidR="005F73A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scale for muscle strength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. 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M</w:t>
      </w:r>
      <w:r w:rsidR="008112A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uscle strength of both 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the </w:t>
      </w:r>
      <w:r w:rsidR="008112A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upper extremities and </w:t>
      </w:r>
      <w:r w:rsidR="00B6532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left lower extremity 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was</w:t>
      </w:r>
      <w:r w:rsidR="00B6532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normal.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Light touch and pin-</w:t>
      </w:r>
      <w:r w:rsidR="00C2201B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p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rick sensation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were normal. </w:t>
      </w:r>
      <w:r w:rsidR="000C2DD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When deep tendon reflexes were examined,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the left knee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-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jerk 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reflex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was normal but the right knee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-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jerk 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reflex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was decreased. Hoffman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n'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s sign and ankle clonus were not 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noted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.</w:t>
      </w:r>
      <w:r w:rsidR="006A5292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25522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Before visiting</w:t>
      </w:r>
      <w:r w:rsidR="000C645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our hospital, 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the patient had </w:t>
      </w:r>
      <w:r w:rsidR="000C645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visited a local hospital </w:t>
      </w:r>
      <w:r w:rsidR="0025522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where he was diagnosed with </w:t>
      </w:r>
      <w:r w:rsidR="000C2DD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spondylolisthesis</w:t>
      </w:r>
      <w:r w:rsidR="00DB1FE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at L5</w:t>
      </w:r>
      <w:r w:rsidR="00FD3EA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–</w:t>
      </w:r>
      <w:r w:rsidR="00DB1FE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S1</w:t>
      </w:r>
      <w:r w:rsidR="000C2DD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based </w:t>
      </w:r>
      <w:r w:rsidR="0025522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on </w:t>
      </w:r>
      <w:r w:rsidR="000C2DD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a plain radiograph of the lumbar spine</w:t>
      </w:r>
      <w:r w:rsidR="009367EC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(Fig</w:t>
      </w:r>
      <w:r w:rsidR="006A255A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.</w:t>
      </w:r>
      <w:r w:rsidR="009367EC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1)</w:t>
      </w:r>
      <w:r w:rsidR="000C2DD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. 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The lumbar spine </w:t>
      </w:r>
      <w:r w:rsidR="006A255A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magnetic resonance imaging (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MRI</w:t>
      </w:r>
      <w:r w:rsidR="006A255A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)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performed 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in the local hospital revealed spondylolisthesis at L5</w:t>
      </w:r>
      <w:r w:rsidR="00FD3EA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–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S1, </w:t>
      </w:r>
      <w:r w:rsidR="00E360DE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mild 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central spinal stenosis at L5</w:t>
      </w:r>
      <w:r w:rsidR="00FD3EA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–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S1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,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foraminal stenosis at right L5</w:t>
      </w:r>
      <w:r w:rsidR="00FD3EA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–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S1, and disc degeneration at L4</w:t>
      </w:r>
      <w:r w:rsidR="00FD3EA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–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S1</w:t>
      </w:r>
      <w:r w:rsidR="00D3257C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(Fig. 2)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. </w:t>
      </w:r>
    </w:p>
    <w:p w14:paraId="47733CF3" w14:textId="2AF60F4B" w:rsidR="00811065" w:rsidRPr="0031788E" w:rsidRDefault="00811065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3CB581FE" w14:textId="6DF5A875" w:rsidR="00811065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bCs/>
          <w:sz w:val="24"/>
          <w:szCs w:val="24"/>
        </w:rPr>
        <w:t>Differential diagnosis</w:t>
      </w:r>
    </w:p>
    <w:p w14:paraId="044C8B51" w14:textId="1E1AD719" w:rsidR="00811065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The following diagnoses were considered.</w:t>
      </w:r>
    </w:p>
    <w:p w14:paraId="25AAC812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Right L5</w:t>
      </w:r>
      <w:r w:rsidR="002719B7" w:rsidRPr="0031788E">
        <w:rPr>
          <w:rFonts w:ascii="Times New Roman" w:eastAsia="맑은 고딕" w:hAnsi="Times New Roman" w:cs="Times New Roman"/>
          <w:sz w:val="24"/>
          <w:szCs w:val="24"/>
        </w:rPr>
        <w:t xml:space="preserve"> and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S1 radiculopathy</w:t>
      </w:r>
    </w:p>
    <w:p w14:paraId="67C25F74" w14:textId="129F348A" w:rsidR="00EB7629" w:rsidRDefault="00766214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The patient was diagnosed with spondylolisthesis at L5</w:t>
      </w:r>
      <w:r w:rsidR="00D0169E" w:rsidRPr="0031788E">
        <w:rPr>
          <w:rFonts w:ascii="Times New Roman" w:eastAsia="맑은 고딕" w:hAnsi="Times New Roman" w:cs="Times New Roman"/>
          <w:sz w:val="24"/>
          <w:szCs w:val="24"/>
        </w:rPr>
        <w:t>–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S1</w:t>
      </w:r>
      <w:r w:rsidR="005D215E" w:rsidRPr="0031788E">
        <w:rPr>
          <w:rFonts w:ascii="Times New Roman" w:eastAsia="맑은 고딕" w:hAnsi="Times New Roman" w:cs="Times New Roman"/>
          <w:sz w:val="24"/>
          <w:szCs w:val="24"/>
        </w:rPr>
        <w:t xml:space="preserve"> and foraminal stenosis at right L5</w:t>
      </w:r>
      <w:r w:rsidR="00D0169E" w:rsidRPr="0031788E">
        <w:rPr>
          <w:rFonts w:ascii="Times New Roman" w:eastAsia="맑은 고딕" w:hAnsi="Times New Roman" w:cs="Times New Roman"/>
          <w:sz w:val="24"/>
          <w:szCs w:val="24"/>
        </w:rPr>
        <w:t>–</w:t>
      </w:r>
      <w:r w:rsidR="005D215E" w:rsidRPr="0031788E">
        <w:rPr>
          <w:rFonts w:ascii="Times New Roman" w:eastAsia="맑은 고딕" w:hAnsi="Times New Roman" w:cs="Times New Roman"/>
          <w:sz w:val="24"/>
          <w:szCs w:val="24"/>
        </w:rPr>
        <w:t xml:space="preserve">S1, which may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have resulted in right L5 and S1 radiculopathy. In addition, the right ankle weakness </w:t>
      </w:r>
      <w:r w:rsidR="005D215E" w:rsidRPr="0031788E">
        <w:rPr>
          <w:rFonts w:ascii="Times New Roman" w:eastAsia="맑은 고딕" w:hAnsi="Times New Roman" w:cs="Times New Roman"/>
          <w:sz w:val="24"/>
          <w:szCs w:val="24"/>
        </w:rPr>
        <w:t xml:space="preserve">in the patient was </w:t>
      </w:r>
      <w:r w:rsidR="002719B7" w:rsidRPr="0031788E">
        <w:rPr>
          <w:rFonts w:ascii="Times New Roman" w:eastAsia="맑은 고딕" w:hAnsi="Times New Roman" w:cs="Times New Roman"/>
          <w:sz w:val="24"/>
          <w:szCs w:val="24"/>
        </w:rPr>
        <w:t xml:space="preserve">consistent </w:t>
      </w:r>
      <w:r w:rsidR="005D215E" w:rsidRPr="0031788E">
        <w:rPr>
          <w:rFonts w:ascii="Times New Roman" w:eastAsia="맑은 고딕" w:hAnsi="Times New Roman" w:cs="Times New Roman"/>
          <w:sz w:val="24"/>
          <w:szCs w:val="24"/>
        </w:rPr>
        <w:t xml:space="preserve">with the </w:t>
      </w:r>
      <w:r w:rsidR="005B5F10" w:rsidRPr="0031788E">
        <w:rPr>
          <w:rFonts w:ascii="Times New Roman" w:eastAsia="맑은 고딕" w:hAnsi="Times New Roman" w:cs="Times New Roman"/>
          <w:sz w:val="24"/>
          <w:szCs w:val="24"/>
        </w:rPr>
        <w:t>L5 and S1 myotome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. However, more extensive clinical involvement of the myotome than can be explained by the findings </w:t>
      </w:r>
      <w:r w:rsidR="005B5F10" w:rsidRPr="0031788E">
        <w:rPr>
          <w:rFonts w:ascii="Times New Roman" w:eastAsia="맑은 고딕" w:hAnsi="Times New Roman" w:cs="Times New Roman"/>
          <w:sz w:val="24"/>
          <w:szCs w:val="24"/>
        </w:rPr>
        <w:t xml:space="preserve">of the </w:t>
      </w:r>
      <w:r w:rsidR="00BA3F8B" w:rsidRPr="0031788E">
        <w:rPr>
          <w:rFonts w:ascii="Times New Roman" w:eastAsia="맑은 고딕" w:hAnsi="Times New Roman" w:cs="Times New Roman"/>
          <w:sz w:val="24"/>
          <w:szCs w:val="24"/>
        </w:rPr>
        <w:t xml:space="preserve">patient’s </w:t>
      </w:r>
      <w:r w:rsidR="005B5F10" w:rsidRPr="0031788E">
        <w:rPr>
          <w:rFonts w:ascii="Times New Roman" w:eastAsia="맑은 고딕" w:hAnsi="Times New Roman" w:cs="Times New Roman"/>
          <w:sz w:val="24"/>
          <w:szCs w:val="24"/>
        </w:rPr>
        <w:t>lumbar MRI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, as well as the absence of sensory symptoms and radiating pain, </w:t>
      </w:r>
      <w:r w:rsidR="00334058" w:rsidRPr="0031788E">
        <w:rPr>
          <w:rFonts w:ascii="Times New Roman" w:eastAsia="맑은 고딕" w:hAnsi="Times New Roman" w:cs="Times New Roman"/>
          <w:sz w:val="24"/>
          <w:szCs w:val="24"/>
        </w:rPr>
        <w:t xml:space="preserve">make this diagnosis less likely. </w:t>
      </w:r>
    </w:p>
    <w:p w14:paraId="00AF53D9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65A32FD6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lastRenderedPageBreak/>
        <w:t>Amyotrophic lateral sclerosis (ALS)</w:t>
      </w:r>
    </w:p>
    <w:p w14:paraId="6C9CB8F1" w14:textId="5AB22F0F" w:rsidR="00334058" w:rsidRDefault="00246099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The</w:t>
      </w:r>
      <w:r w:rsidR="00051372" w:rsidRPr="0031788E">
        <w:rPr>
          <w:rFonts w:ascii="Times New Roman" w:eastAsia="맑은 고딕" w:hAnsi="Times New Roman" w:cs="Times New Roman"/>
          <w:sz w:val="24"/>
          <w:szCs w:val="24"/>
        </w:rPr>
        <w:t xml:space="preserve"> clinical</w:t>
      </w:r>
      <w:r w:rsidR="00373DA6" w:rsidRPr="0031788E">
        <w:rPr>
          <w:rFonts w:ascii="Times New Roman" w:eastAsia="맑은 고딕" w:hAnsi="Times New Roman" w:cs="Times New Roman"/>
          <w:sz w:val="24"/>
          <w:szCs w:val="24"/>
        </w:rPr>
        <w:t xml:space="preserve"> spectrum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of ALS</w:t>
      </w:r>
      <w:r w:rsidR="00373DA6" w:rsidRPr="0031788E">
        <w:rPr>
          <w:rFonts w:ascii="Times New Roman" w:eastAsia="맑은 고딕" w:hAnsi="Times New Roman" w:cs="Times New Roman"/>
          <w:sz w:val="24"/>
          <w:szCs w:val="24"/>
        </w:rPr>
        <w:t xml:space="preserve"> comprises </w:t>
      </w:r>
      <w:r w:rsidR="00051372" w:rsidRPr="0031788E">
        <w:rPr>
          <w:rFonts w:ascii="Times New Roman" w:eastAsia="맑은 고딕" w:hAnsi="Times New Roman" w:cs="Times New Roman"/>
          <w:sz w:val="24"/>
          <w:szCs w:val="24"/>
        </w:rPr>
        <w:t>varying degrees of lower motor neuron (LMN) and upper motor neuron involvement</w:t>
      </w:r>
      <w:r w:rsidR="000A00D0" w:rsidRPr="0031788E">
        <w:rPr>
          <w:rFonts w:ascii="Times New Roman" w:eastAsia="맑은 고딕" w:hAnsi="Times New Roman" w:cs="Times New Roman"/>
          <w:sz w:val="24"/>
          <w:szCs w:val="24"/>
        </w:rPr>
        <w:t xml:space="preserve"> [1]</w:t>
      </w:r>
      <w:r w:rsidR="00373DA6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="00F64FCD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P</w:t>
      </w:r>
      <w:r w:rsidR="00640340" w:rsidRPr="0031788E">
        <w:rPr>
          <w:rFonts w:ascii="Times New Roman" w:eastAsia="맑은 고딕" w:hAnsi="Times New Roman" w:cs="Times New Roman"/>
          <w:sz w:val="24"/>
          <w:szCs w:val="24"/>
        </w:rPr>
        <w:t>rogressive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, often asymmetric weakness in the absence of prominent sensory changes is a characteristic symptom of ALS. The insidious and progressive motor weakness</w:t>
      </w:r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>, involving more than one myotome or peripheral nerve territory,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 in the right lower limb </w:t>
      </w:r>
      <w:r w:rsidR="00447267" w:rsidRPr="0031788E">
        <w:rPr>
          <w:rFonts w:ascii="Times New Roman" w:eastAsia="맑은 고딕" w:hAnsi="Times New Roman" w:cs="Times New Roman"/>
          <w:sz w:val="24"/>
          <w:szCs w:val="24"/>
        </w:rPr>
        <w:t xml:space="preserve">of the patient </w:t>
      </w:r>
      <w:r w:rsidR="00383F15" w:rsidRPr="0031788E">
        <w:rPr>
          <w:rFonts w:ascii="Times New Roman" w:eastAsia="맑은 고딕" w:hAnsi="Times New Roman" w:cs="Times New Roman"/>
          <w:sz w:val="24"/>
          <w:szCs w:val="24"/>
        </w:rPr>
        <w:t>is</w:t>
      </w:r>
      <w:r w:rsidR="00447267" w:rsidRPr="0031788E">
        <w:rPr>
          <w:rFonts w:ascii="Times New Roman" w:eastAsia="맑은 고딕" w:hAnsi="Times New Roman" w:cs="Times New Roman"/>
          <w:sz w:val="24"/>
          <w:szCs w:val="24"/>
        </w:rPr>
        <w:t xml:space="preserve"> suggestive of ALS. In addition, </w:t>
      </w:r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 xml:space="preserve">fasciculation of </w:t>
      </w:r>
      <w:r w:rsidR="00383F15" w:rsidRPr="0031788E">
        <w:rPr>
          <w:rFonts w:ascii="Times New Roman" w:eastAsia="맑은 고딕" w:hAnsi="Times New Roman" w:cs="Times New Roman"/>
          <w:sz w:val="24"/>
          <w:szCs w:val="24"/>
        </w:rPr>
        <w:t xml:space="preserve">the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leg muscles </w:t>
      </w:r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>support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ed this diagnosis. </w:t>
      </w:r>
      <w:r w:rsidR="00F64E26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 xml:space="preserve">ince only </w:t>
      </w:r>
      <w:r w:rsidR="00373DA6" w:rsidRPr="0031788E">
        <w:rPr>
          <w:rFonts w:ascii="Times New Roman" w:eastAsia="맑은 고딕" w:hAnsi="Times New Roman" w:cs="Times New Roman"/>
          <w:sz w:val="24"/>
          <w:szCs w:val="24"/>
        </w:rPr>
        <w:t>LMN</w:t>
      </w:r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 xml:space="preserve"> signs were found </w:t>
      </w:r>
      <w:r w:rsidR="00383F15" w:rsidRPr="0031788E">
        <w:rPr>
          <w:rFonts w:ascii="Times New Roman" w:eastAsia="맑은 고딕" w:hAnsi="Times New Roman" w:cs="Times New Roman"/>
          <w:sz w:val="24"/>
          <w:szCs w:val="24"/>
        </w:rPr>
        <w:t>upon</w:t>
      </w:r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 xml:space="preserve"> physical examination, </w:t>
      </w:r>
      <w:r w:rsidR="009367EC" w:rsidRPr="0031788E">
        <w:rPr>
          <w:rFonts w:ascii="Times New Roman" w:eastAsia="맑은 고딕" w:hAnsi="Times New Roman" w:cs="Times New Roman"/>
          <w:sz w:val="24"/>
          <w:szCs w:val="24"/>
        </w:rPr>
        <w:t xml:space="preserve">a </w:t>
      </w:r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 xml:space="preserve">detailed, comprehensive electrophysiologic study </w:t>
      </w:r>
      <w:r w:rsidR="009367EC" w:rsidRPr="0031788E">
        <w:rPr>
          <w:rFonts w:ascii="Times New Roman" w:eastAsia="맑은 고딕" w:hAnsi="Times New Roman" w:cs="Times New Roman"/>
          <w:sz w:val="24"/>
          <w:szCs w:val="24"/>
        </w:rPr>
        <w:t xml:space="preserve">and clinical follow-up </w:t>
      </w:r>
      <w:r w:rsidR="00383F15" w:rsidRPr="0031788E">
        <w:rPr>
          <w:rFonts w:ascii="Times New Roman" w:eastAsia="맑은 고딕" w:hAnsi="Times New Roman" w:cs="Times New Roman"/>
          <w:sz w:val="24"/>
          <w:szCs w:val="24"/>
        </w:rPr>
        <w:t>we</w:t>
      </w:r>
      <w:r w:rsidR="009367EC" w:rsidRPr="0031788E">
        <w:rPr>
          <w:rFonts w:ascii="Times New Roman" w:eastAsia="맑은 고딕" w:hAnsi="Times New Roman" w:cs="Times New Roman"/>
          <w:sz w:val="24"/>
          <w:szCs w:val="24"/>
        </w:rPr>
        <w:t>re</w:t>
      </w:r>
      <w:r w:rsidR="00367650" w:rsidRPr="0031788E">
        <w:rPr>
          <w:rFonts w:ascii="Times New Roman" w:eastAsia="맑은 고딕" w:hAnsi="Times New Roman" w:cs="Times New Roman"/>
          <w:sz w:val="24"/>
          <w:szCs w:val="24"/>
        </w:rPr>
        <w:t xml:space="preserve"> necessary to confirm the diagnosis. </w:t>
      </w:r>
    </w:p>
    <w:p w14:paraId="00C437AE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28EE5123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Multifocal motor neuropathy (MMN)</w:t>
      </w:r>
    </w:p>
    <w:p w14:paraId="2C5BB6A0" w14:textId="2C972CC6" w:rsidR="0013455F" w:rsidRDefault="00672306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MMN is a rare autoimmune motor neuropath</w:t>
      </w:r>
      <w:r w:rsidR="00B67161" w:rsidRPr="0031788E">
        <w:rPr>
          <w:rFonts w:ascii="Times New Roman" w:eastAsia="맑은 고딕" w:hAnsi="Times New Roman" w:cs="Times New Roman"/>
          <w:sz w:val="24"/>
          <w:szCs w:val="24"/>
        </w:rPr>
        <w:t xml:space="preserve">y that </w:t>
      </w:r>
      <w:r w:rsidR="0009579F" w:rsidRPr="0031788E">
        <w:rPr>
          <w:rFonts w:ascii="Times New Roman" w:eastAsia="맑은 고딕" w:hAnsi="Times New Roman" w:cs="Times New Roman"/>
          <w:sz w:val="24"/>
          <w:szCs w:val="24"/>
        </w:rPr>
        <w:t>causes slowly progressive asymmetric distal weakness</w:t>
      </w:r>
      <w:r w:rsidR="003B22B5" w:rsidRPr="0031788E">
        <w:rPr>
          <w:rFonts w:ascii="Times New Roman" w:eastAsia="맑은 고딕" w:hAnsi="Times New Roman" w:cs="Times New Roman"/>
          <w:sz w:val="24"/>
          <w:szCs w:val="24"/>
        </w:rPr>
        <w:t xml:space="preserve">, especially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in </w:t>
      </w:r>
      <w:r w:rsidR="00232117" w:rsidRPr="0031788E">
        <w:rPr>
          <w:rFonts w:ascii="Times New Roman" w:eastAsia="맑은 고딕" w:hAnsi="Times New Roman" w:cs="Times New Roman"/>
          <w:sz w:val="24"/>
          <w:szCs w:val="24"/>
        </w:rPr>
        <w:t>the upper extremities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 xml:space="preserve"> [2</w:t>
      </w:r>
      <w:r w:rsidR="0009579F" w:rsidRPr="0031788E">
        <w:rPr>
          <w:rFonts w:ascii="Times New Roman" w:eastAsia="맑은 고딕" w:hAnsi="Times New Roman" w:cs="Times New Roman"/>
          <w:sz w:val="24"/>
          <w:szCs w:val="24"/>
        </w:rPr>
        <w:t>].</w:t>
      </w:r>
      <w:r w:rsidR="00232117" w:rsidRPr="0031788E">
        <w:rPr>
          <w:rFonts w:ascii="Times New Roman" w:eastAsia="맑은 고딕" w:hAnsi="Times New Roman" w:cs="Times New Roman"/>
          <w:sz w:val="24"/>
          <w:szCs w:val="24"/>
        </w:rPr>
        <w:t xml:space="preserve"> Although lower limb involvement has been reported</w:t>
      </w:r>
      <w:r w:rsidR="00C31A68" w:rsidRPr="0031788E">
        <w:rPr>
          <w:rFonts w:ascii="Times New Roman" w:eastAsia="맑은 고딕" w:hAnsi="Times New Roman" w:cs="Times New Roman"/>
          <w:sz w:val="24"/>
          <w:szCs w:val="24"/>
        </w:rPr>
        <w:t xml:space="preserve"> in approximately 10%</w:t>
      </w:r>
      <w:r w:rsidR="00232117" w:rsidRPr="0031788E">
        <w:rPr>
          <w:rFonts w:ascii="Times New Roman" w:eastAsia="맑은 고딕" w:hAnsi="Times New Roman" w:cs="Times New Roman"/>
          <w:sz w:val="24"/>
          <w:szCs w:val="24"/>
        </w:rPr>
        <w:t xml:space="preserve"> of cases, it is much rarer than upper limb involvement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,</w:t>
      </w:r>
      <w:r w:rsidR="00FA5F48" w:rsidRPr="0031788E">
        <w:rPr>
          <w:rFonts w:ascii="Times New Roman" w:eastAsia="맑은 고딕" w:hAnsi="Times New Roman" w:cs="Times New Roman"/>
          <w:sz w:val="24"/>
          <w:szCs w:val="24"/>
        </w:rPr>
        <w:t xml:space="preserve"> as predominant upper limb involvement is a supportive clinica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>l criterion for diagnosing MMN [</w:t>
      </w:r>
      <w:r w:rsidR="00C77115" w:rsidRPr="0031788E">
        <w:rPr>
          <w:rFonts w:ascii="Times New Roman" w:eastAsia="맑은 고딕" w:hAnsi="Times New Roman" w:cs="Times New Roman"/>
          <w:sz w:val="24"/>
          <w:szCs w:val="24"/>
        </w:rPr>
        <w:t>2</w:t>
      </w:r>
      <w:r w:rsidR="00FA5F48" w:rsidRPr="0031788E">
        <w:rPr>
          <w:rFonts w:ascii="Times New Roman" w:eastAsia="맑은 고딕" w:hAnsi="Times New Roman" w:cs="Times New Roman"/>
          <w:sz w:val="24"/>
          <w:szCs w:val="24"/>
        </w:rPr>
        <w:t>]</w:t>
      </w:r>
      <w:r w:rsidR="00232117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="00C31A68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506151" w:rsidRPr="0031788E">
        <w:rPr>
          <w:rFonts w:ascii="Times New Roman" w:eastAsia="맑은 고딕" w:hAnsi="Times New Roman" w:cs="Times New Roman"/>
          <w:sz w:val="24"/>
          <w:szCs w:val="24"/>
        </w:rPr>
        <w:t>The fact that marked muscle wasting is rare in the early symptomatic phase could be a useful point for differentiation.</w:t>
      </w:r>
      <w:r w:rsidR="006B2FB1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383F15" w:rsidRPr="0031788E">
        <w:rPr>
          <w:rFonts w:ascii="Times New Roman" w:eastAsia="맑은 고딕" w:hAnsi="Times New Roman" w:cs="Times New Roman"/>
          <w:sz w:val="24"/>
          <w:szCs w:val="24"/>
        </w:rPr>
        <w:t>T</w:t>
      </w:r>
      <w:r w:rsidR="006B2FB1" w:rsidRPr="0031788E">
        <w:rPr>
          <w:rFonts w:ascii="Times New Roman" w:eastAsia="맑은 고딕" w:hAnsi="Times New Roman" w:cs="Times New Roman"/>
          <w:sz w:val="24"/>
          <w:szCs w:val="24"/>
        </w:rPr>
        <w:t xml:space="preserve">he presence of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a conduction block in electrophysiologic stud</w:t>
      </w:r>
      <w:r w:rsidR="006B2FB1" w:rsidRPr="0031788E">
        <w:rPr>
          <w:rFonts w:ascii="Times New Roman" w:eastAsia="맑은 고딕" w:hAnsi="Times New Roman" w:cs="Times New Roman"/>
          <w:sz w:val="24"/>
          <w:szCs w:val="24"/>
        </w:rPr>
        <w:t xml:space="preserve">ies may be another </w:t>
      </w:r>
      <w:r w:rsidR="00383F15" w:rsidRPr="0031788E">
        <w:rPr>
          <w:rFonts w:ascii="Times New Roman" w:eastAsia="맑은 고딕" w:hAnsi="Times New Roman" w:cs="Times New Roman"/>
          <w:sz w:val="24"/>
          <w:szCs w:val="24"/>
        </w:rPr>
        <w:t>finding for diagnosis</w:t>
      </w:r>
      <w:r w:rsidR="006B2FB1" w:rsidRPr="0031788E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</w:p>
    <w:p w14:paraId="3E9D6BE4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0A060501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Post-polio syndrome</w:t>
      </w:r>
    </w:p>
    <w:p w14:paraId="5BE36F50" w14:textId="67FBB5F2" w:rsidR="00C9520B" w:rsidRDefault="00A76669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This syndrome result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t>from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the chronic neuromuscular sequelae of acute poliomyelitis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C77115" w:rsidRPr="0031788E">
        <w:rPr>
          <w:rFonts w:ascii="Times New Roman" w:eastAsia="맑은 고딕" w:hAnsi="Times New Roman" w:cs="Times New Roman"/>
          <w:sz w:val="24"/>
          <w:szCs w:val="24"/>
        </w:rPr>
        <w:t>[3</w:t>
      </w:r>
      <w:r w:rsidR="0084571B" w:rsidRPr="0031788E">
        <w:rPr>
          <w:rFonts w:ascii="Times New Roman" w:eastAsia="맑은 고딕" w:hAnsi="Times New Roman" w:cs="Times New Roman"/>
          <w:sz w:val="24"/>
          <w:szCs w:val="24"/>
        </w:rPr>
        <w:t>]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t>Approximately 25</w:t>
      </w:r>
      <w:r w:rsidR="006A255A" w:rsidRPr="0031788E">
        <w:rPr>
          <w:rFonts w:ascii="Times New Roman" w:eastAsia="맑은 고딕" w:hAnsi="Times New Roman" w:cs="Times New Roman"/>
          <w:sz w:val="24"/>
          <w:szCs w:val="24"/>
        </w:rPr>
        <w:t>%</w:t>
      </w:r>
      <w:r w:rsidR="00525AF8" w:rsidRPr="0031788E">
        <w:rPr>
          <w:rFonts w:ascii="Times New Roman" w:eastAsia="맑은 고딕" w:hAnsi="Times New Roman" w:cs="Times New Roman"/>
          <w:sz w:val="24"/>
          <w:szCs w:val="24"/>
        </w:rPr>
        <w:t xml:space="preserve"> to 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t xml:space="preserve">60% of patients with a history of acute poliomyelitis </w:t>
      </w:r>
      <w:r w:rsidR="00525AF8" w:rsidRPr="0031788E">
        <w:rPr>
          <w:rFonts w:ascii="Times New Roman" w:eastAsia="맑은 고딕" w:hAnsi="Times New Roman" w:cs="Times New Roman"/>
          <w:sz w:val="24"/>
          <w:szCs w:val="24"/>
        </w:rPr>
        <w:t xml:space="preserve">have been </w:t>
      </w:r>
      <w:r w:rsidR="007D0C78" w:rsidRPr="0031788E">
        <w:rPr>
          <w:rFonts w:ascii="Times New Roman" w:eastAsia="맑은 고딕" w:hAnsi="Times New Roman" w:cs="Times New Roman"/>
          <w:sz w:val="24"/>
          <w:szCs w:val="24"/>
        </w:rPr>
        <w:t>reported to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t xml:space="preserve"> develop subsequent neuromuscular symptoms decades after acute infection</w:t>
      </w:r>
      <w:r w:rsidR="00F80104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F80104" w:rsidRPr="0031788E">
        <w:rPr>
          <w:rFonts w:ascii="Times New Roman" w:eastAsia="맑은 고딕" w:hAnsi="Times New Roman" w:cs="Times New Roman"/>
          <w:sz w:val="24"/>
          <w:szCs w:val="24"/>
        </w:rPr>
        <w:t>The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main 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lastRenderedPageBreak/>
        <w:t>symptom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F80104" w:rsidRPr="0031788E">
        <w:rPr>
          <w:rFonts w:ascii="Times New Roman" w:eastAsia="맑은 고딕" w:hAnsi="Times New Roman" w:cs="Times New Roman"/>
          <w:sz w:val="24"/>
          <w:szCs w:val="24"/>
        </w:rPr>
        <w:t xml:space="preserve">of this syndrome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is</w:t>
      </w:r>
      <w:r w:rsidR="00DF2E5C" w:rsidRPr="0031788E">
        <w:rPr>
          <w:rFonts w:ascii="Times New Roman" w:eastAsia="맑은 고딕" w:hAnsi="Times New Roman" w:cs="Times New Roman"/>
          <w:sz w:val="24"/>
          <w:szCs w:val="24"/>
        </w:rPr>
        <w:t xml:space="preserve"> new, persistent, and progressive muscle weakness</w:t>
      </w:r>
      <w:r w:rsidR="00A9565D" w:rsidRPr="0031788E">
        <w:rPr>
          <w:rFonts w:ascii="Times New Roman" w:eastAsia="맑은 고딕" w:hAnsi="Times New Roman" w:cs="Times New Roman"/>
          <w:sz w:val="24"/>
          <w:szCs w:val="24"/>
        </w:rPr>
        <w:t>. Myalgia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, cramps, and fasciculations are also commonly observed. However, since the patient did not have a history of poliomyelitis, </w:t>
      </w:r>
      <w:r w:rsidR="00F80104" w:rsidRPr="0031788E">
        <w:rPr>
          <w:rFonts w:ascii="Times New Roman" w:eastAsia="맑은 고딕" w:hAnsi="Times New Roman" w:cs="Times New Roman"/>
          <w:sz w:val="24"/>
          <w:szCs w:val="24"/>
        </w:rPr>
        <w:t xml:space="preserve">it was unlikely to be the cause of </w:t>
      </w:r>
      <w:r w:rsidR="00525AF8" w:rsidRPr="0031788E">
        <w:rPr>
          <w:rFonts w:ascii="Times New Roman" w:eastAsia="맑은 고딕" w:hAnsi="Times New Roman" w:cs="Times New Roman"/>
          <w:sz w:val="24"/>
          <w:szCs w:val="24"/>
        </w:rPr>
        <w:t>his</w:t>
      </w:r>
      <w:r w:rsidR="00F80104" w:rsidRPr="0031788E">
        <w:rPr>
          <w:rFonts w:ascii="Times New Roman" w:eastAsia="맑은 고딕" w:hAnsi="Times New Roman" w:cs="Times New Roman"/>
          <w:sz w:val="24"/>
          <w:szCs w:val="24"/>
        </w:rPr>
        <w:t xml:space="preserve"> symptoms.</w:t>
      </w:r>
    </w:p>
    <w:p w14:paraId="3E7FFCA6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0E2AC465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Chronic inflammatory demyelinating polyneuropathy (CIDP) </w:t>
      </w:r>
    </w:p>
    <w:p w14:paraId="3C997FE9" w14:textId="3CE4C87E" w:rsidR="005A3EA2" w:rsidRDefault="00085A77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This is an acquired, immune-mediated peripheral neuropathy characterized by demyelination. </w:t>
      </w:r>
      <w:r w:rsidR="00986A58" w:rsidRPr="0031788E">
        <w:rPr>
          <w:rFonts w:ascii="Times New Roman" w:eastAsia="맑은 고딕" w:hAnsi="Times New Roman" w:cs="Times New Roman"/>
          <w:sz w:val="24"/>
          <w:szCs w:val="24"/>
        </w:rPr>
        <w:t>Among several subtypes of CIDP, a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motor-predominant form without significant sensory symptoms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could have </w:t>
      </w:r>
      <w:r w:rsidR="00986A58" w:rsidRPr="0031788E">
        <w:rPr>
          <w:rFonts w:ascii="Times New Roman" w:eastAsia="맑은 고딕" w:hAnsi="Times New Roman" w:cs="Times New Roman"/>
          <w:sz w:val="24"/>
          <w:szCs w:val="24"/>
        </w:rPr>
        <w:t>cause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d</w:t>
      </w:r>
      <w:r w:rsidR="00986A58" w:rsidRPr="0031788E">
        <w:rPr>
          <w:rFonts w:ascii="Times New Roman" w:eastAsia="맑은 고딕" w:hAnsi="Times New Roman" w:cs="Times New Roman"/>
          <w:sz w:val="24"/>
          <w:szCs w:val="24"/>
        </w:rPr>
        <w:t xml:space="preserve"> symptoms similar to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those of the patient, although this form is report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>ed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ly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 xml:space="preserve"> rare (&lt;10% of CIDP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 cases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 xml:space="preserve">) </w:t>
      </w:r>
      <w:r w:rsidR="00C77115" w:rsidRPr="0031788E">
        <w:rPr>
          <w:rFonts w:ascii="Times New Roman" w:eastAsia="맑은 고딕" w:hAnsi="Times New Roman" w:cs="Times New Roman"/>
          <w:sz w:val="24"/>
          <w:szCs w:val="24"/>
        </w:rPr>
        <w:t>[4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]. However, considering the asymmetric involvement of the </w:t>
      </w:r>
      <w:r w:rsidR="00BA3F8B" w:rsidRPr="0031788E">
        <w:rPr>
          <w:rFonts w:ascii="Times New Roman" w:eastAsia="맑은 고딕" w:hAnsi="Times New Roman" w:cs="Times New Roman"/>
          <w:sz w:val="24"/>
          <w:szCs w:val="24"/>
        </w:rPr>
        <w:t xml:space="preserve">patient’s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lower limbs, the possibility of CIDP was low. Nerve conduction studies and cerebrospinal fluid analysis are required for positive diagnosis.</w:t>
      </w:r>
    </w:p>
    <w:p w14:paraId="2FEC6F9A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498E9D22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Spinobulbar muscular atrophy </w:t>
      </w:r>
    </w:p>
    <w:p w14:paraId="57212BB3" w14:textId="0C4B1B06" w:rsidR="006A4E55" w:rsidRDefault="00672306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This is an X-linked disorder </w:t>
      </w:r>
      <w:r w:rsidR="0050774F" w:rsidRPr="0031788E">
        <w:rPr>
          <w:rFonts w:ascii="Times New Roman" w:eastAsia="맑은 고딕" w:hAnsi="Times New Roman" w:cs="Times New Roman"/>
          <w:sz w:val="24"/>
          <w:szCs w:val="24"/>
        </w:rPr>
        <w:t xml:space="preserve">caused by </w:t>
      </w:r>
      <w:r w:rsidR="006A255A" w:rsidRPr="0031788E">
        <w:rPr>
          <w:rFonts w:ascii="Times New Roman" w:eastAsia="맑은 고딕" w:hAnsi="Times New Roman" w:cs="Times New Roman"/>
          <w:sz w:val="24"/>
          <w:szCs w:val="24"/>
        </w:rPr>
        <w:t>cytosine-adenine-guanine (</w:t>
      </w:r>
      <w:r w:rsidR="0050774F" w:rsidRPr="0031788E">
        <w:rPr>
          <w:rFonts w:ascii="Times New Roman" w:eastAsia="맑은 고딕" w:hAnsi="Times New Roman" w:cs="Times New Roman"/>
          <w:sz w:val="24"/>
          <w:szCs w:val="24"/>
        </w:rPr>
        <w:t>CAG</w:t>
      </w:r>
      <w:r w:rsidR="006A255A" w:rsidRPr="0031788E">
        <w:rPr>
          <w:rFonts w:ascii="Times New Roman" w:eastAsia="맑은 고딕" w:hAnsi="Times New Roman" w:cs="Times New Roman"/>
          <w:sz w:val="24"/>
          <w:szCs w:val="24"/>
        </w:rPr>
        <w:t>)</w:t>
      </w:r>
      <w:r w:rsidR="0050774F" w:rsidRPr="0031788E">
        <w:rPr>
          <w:rFonts w:ascii="Times New Roman" w:eastAsia="맑은 고딕" w:hAnsi="Times New Roman" w:cs="Times New Roman"/>
          <w:sz w:val="24"/>
          <w:szCs w:val="24"/>
        </w:rPr>
        <w:t xml:space="preserve"> trinucleotide repeat expansion in the androgen receptor gene on the X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50774F" w:rsidRPr="0031788E">
        <w:rPr>
          <w:rFonts w:ascii="Times New Roman" w:eastAsia="맑은 고딕" w:hAnsi="Times New Roman" w:cs="Times New Roman"/>
          <w:sz w:val="24"/>
          <w:szCs w:val="24"/>
        </w:rPr>
        <w:t>chromos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>ome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, thus affecting only males </w:t>
      </w:r>
      <w:r w:rsidR="00C77115" w:rsidRPr="0031788E">
        <w:rPr>
          <w:rFonts w:ascii="Times New Roman" w:eastAsia="맑은 고딕" w:hAnsi="Times New Roman" w:cs="Times New Roman"/>
          <w:sz w:val="24"/>
          <w:szCs w:val="24"/>
        </w:rPr>
        <w:t>[5</w:t>
      </w:r>
      <w:r w:rsidR="0050774F" w:rsidRPr="0031788E">
        <w:rPr>
          <w:rFonts w:ascii="Times New Roman" w:eastAsia="맑은 고딕" w:hAnsi="Times New Roman" w:cs="Times New Roman"/>
          <w:sz w:val="24"/>
          <w:szCs w:val="24"/>
        </w:rPr>
        <w:t xml:space="preserve">]. </w:t>
      </w:r>
      <w:r w:rsidR="00E41C03" w:rsidRPr="0031788E">
        <w:rPr>
          <w:rFonts w:ascii="Times New Roman" w:eastAsia="맑은 고딕" w:hAnsi="Times New Roman" w:cs="Times New Roman"/>
          <w:sz w:val="24"/>
          <w:szCs w:val="24"/>
        </w:rPr>
        <w:t xml:space="preserve">Slowly progressive motor weakness, often accompanied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by prominent cramps</w:t>
      </w:r>
      <w:r w:rsidR="00E41C03" w:rsidRPr="0031788E">
        <w:rPr>
          <w:rFonts w:ascii="Times New Roman" w:eastAsia="맑은 고딕" w:hAnsi="Times New Roman" w:cs="Times New Roman"/>
          <w:sz w:val="24"/>
          <w:szCs w:val="24"/>
        </w:rPr>
        <w:t>, usually begin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s in the bulbar muscles or </w:t>
      </w:r>
      <w:r w:rsidR="00E41C03" w:rsidRPr="0031788E">
        <w:rPr>
          <w:rFonts w:ascii="Times New Roman" w:eastAsia="맑은 고딕" w:hAnsi="Times New Roman" w:cs="Times New Roman"/>
          <w:sz w:val="24"/>
          <w:szCs w:val="24"/>
        </w:rPr>
        <w:t>lower limb muscles. Gynecomastia</w:t>
      </w:r>
      <w:r w:rsidR="000058AE" w:rsidRPr="0031788E">
        <w:rPr>
          <w:rFonts w:ascii="Times New Roman" w:eastAsia="맑은 고딕" w:hAnsi="Times New Roman" w:cs="Times New Roman"/>
          <w:sz w:val="24"/>
          <w:szCs w:val="24"/>
        </w:rPr>
        <w:t xml:space="preserve"> and</w:t>
      </w:r>
      <w:r w:rsidR="00E41C03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DA3B82" w:rsidRPr="0031788E">
        <w:rPr>
          <w:rFonts w:ascii="Times New Roman" w:eastAsia="맑은 고딕" w:hAnsi="Times New Roman" w:cs="Times New Roman"/>
          <w:sz w:val="24"/>
          <w:szCs w:val="24"/>
        </w:rPr>
        <w:t xml:space="preserve">testicular atrophy can also occur. Since the patient did not have endocrine abnormalities or bulbar and perioral muscle involvement, the possibility </w:t>
      </w:r>
      <w:r w:rsidR="00AD2D34" w:rsidRPr="0031788E">
        <w:rPr>
          <w:rFonts w:ascii="Times New Roman" w:eastAsia="맑은 고딕" w:hAnsi="Times New Roman" w:cs="Times New Roman"/>
          <w:sz w:val="24"/>
          <w:szCs w:val="24"/>
        </w:rPr>
        <w:t xml:space="preserve">of this 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disorder </w:t>
      </w:r>
      <w:r w:rsidR="0031788E">
        <w:rPr>
          <w:rFonts w:ascii="Times New Roman" w:eastAsia="맑은 고딕" w:hAnsi="Times New Roman" w:cs="Times New Roman"/>
          <w:sz w:val="24"/>
          <w:szCs w:val="24"/>
        </w:rPr>
        <w:t>was low.</w:t>
      </w:r>
    </w:p>
    <w:p w14:paraId="38586270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0D7842C9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Intracranial lesions</w:t>
      </w:r>
    </w:p>
    <w:p w14:paraId="587E8FD0" w14:textId="5FA4DF3D" w:rsidR="006A4E55" w:rsidRDefault="00672306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Stroke or brain tumors should be considered in the differential diagnosis of limb weakness. In this patient, stroke could be 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>excluded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considering the 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presentation of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insidious progressive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lastRenderedPageBreak/>
        <w:t>weakness. In addition, considering the LMN signs, it is unlikely that our patient had this disorder.</w:t>
      </w:r>
    </w:p>
    <w:p w14:paraId="5315100F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502E9453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Inclusion body myositis</w:t>
      </w:r>
    </w:p>
    <w:p w14:paraId="213A6698" w14:textId="391BD9E0" w:rsidR="006A4E55" w:rsidRDefault="00672306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This is a disease that shows 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gradual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asymmetrical muscle wasting in patients over 50 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years old </w:t>
      </w:r>
      <w:r w:rsidR="00C77115" w:rsidRPr="0031788E">
        <w:rPr>
          <w:rFonts w:ascii="Times New Roman" w:eastAsia="맑은 고딕" w:hAnsi="Times New Roman" w:cs="Times New Roman"/>
          <w:sz w:val="24"/>
          <w:szCs w:val="24"/>
        </w:rPr>
        <w:t>[6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]. However, normal or exaggerated reflexes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 are observed with this disease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, and visible fasciculation is not seen 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>al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though </w:t>
      </w:r>
      <w:r w:rsidR="00D57A6E" w:rsidRPr="0031788E">
        <w:rPr>
          <w:rFonts w:ascii="Times New Roman" w:eastAsia="맑은 고딕" w:hAnsi="Times New Roman" w:cs="Times New Roman"/>
          <w:sz w:val="24"/>
          <w:szCs w:val="24"/>
        </w:rPr>
        <w:t xml:space="preserve">fasciculations can be detected by </w:t>
      </w:r>
      <w:r w:rsidR="006A255A" w:rsidRPr="0031788E">
        <w:rPr>
          <w:rFonts w:ascii="Times New Roman" w:eastAsia="맑은 고딕" w:hAnsi="Times New Roman" w:cs="Times New Roman"/>
          <w:sz w:val="24"/>
          <w:szCs w:val="24"/>
        </w:rPr>
        <w:t>electromyography (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EMG</w:t>
      </w:r>
      <w:r w:rsidR="006A255A" w:rsidRPr="0031788E">
        <w:rPr>
          <w:rFonts w:ascii="Times New Roman" w:eastAsia="맑은 고딕" w:hAnsi="Times New Roman" w:cs="Times New Roman"/>
          <w:sz w:val="24"/>
          <w:szCs w:val="24"/>
        </w:rPr>
        <w:t>)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D57A6E" w:rsidRPr="0031788E">
        <w:rPr>
          <w:rFonts w:ascii="Times New Roman" w:eastAsia="맑은 고딕" w:hAnsi="Times New Roman" w:cs="Times New Roman"/>
          <w:sz w:val="24"/>
          <w:szCs w:val="24"/>
        </w:rPr>
        <w:t>in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up to 40%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of patients </w:t>
      </w:r>
      <w:r w:rsidR="00C77115" w:rsidRPr="0031788E">
        <w:rPr>
          <w:rFonts w:ascii="Times New Roman" w:eastAsia="맑은 고딕" w:hAnsi="Times New Roman" w:cs="Times New Roman"/>
          <w:sz w:val="24"/>
          <w:szCs w:val="24"/>
        </w:rPr>
        <w:t>[6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].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 None of these characteristics were observed in the patient.</w:t>
      </w:r>
    </w:p>
    <w:p w14:paraId="7C82398B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09A7E043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Thyrotoxicosis</w:t>
      </w:r>
    </w:p>
    <w:p w14:paraId="5077D94D" w14:textId="74F18F99" w:rsidR="0051682D" w:rsidRDefault="00672306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Thyrotoxicosis may be accompanied by fasciculation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and muscle weakness. However, the possibility of th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>is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diagnosis 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 xml:space="preserve">was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considered low because the patient did not have systemic symptoms of thyrotoxicosis, such as heat intolerance and tachycardia.</w:t>
      </w:r>
    </w:p>
    <w:p w14:paraId="721EC92E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3278BC89" w14:textId="614C1B02" w:rsid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10.</w:t>
      </w:r>
      <w:r w:rsidR="00D0169E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Paraneoplastic syndrome</w:t>
      </w:r>
    </w:p>
    <w:p w14:paraId="4E8D7792" w14:textId="1C3EDB88" w:rsidR="002C1DF5" w:rsidRPr="0031788E" w:rsidRDefault="00672306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Subacute sensory neuropathy is a typical feature of </w:t>
      </w:r>
      <w:r w:rsidR="00C17594" w:rsidRPr="0031788E">
        <w:rPr>
          <w:rFonts w:ascii="Times New Roman" w:eastAsia="맑은 고딕" w:hAnsi="Times New Roman" w:cs="Times New Roman"/>
          <w:sz w:val="24"/>
          <w:szCs w:val="24"/>
        </w:rPr>
        <w:t>paraneoplastic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syndrome</w:t>
      </w:r>
      <w:r w:rsidR="00C17594" w:rsidRPr="0031788E">
        <w:rPr>
          <w:rFonts w:ascii="Times New Roman" w:eastAsia="맑은 고딕" w:hAnsi="Times New Roman" w:cs="Times New Roman"/>
          <w:sz w:val="24"/>
          <w:szCs w:val="24"/>
        </w:rPr>
        <w:t>;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C17594" w:rsidRPr="0031788E">
        <w:rPr>
          <w:rFonts w:ascii="Times New Roman" w:eastAsia="맑은 고딕" w:hAnsi="Times New Roman" w:cs="Times New Roman"/>
          <w:sz w:val="24"/>
          <w:szCs w:val="24"/>
        </w:rPr>
        <w:t>h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owever, 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 xml:space="preserve">symptoms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may appear as sensorimotor neuropathies such as brachial plexopathy or </w:t>
      </w:r>
      <w:r w:rsidR="00512C6C" w:rsidRPr="0031788E">
        <w:rPr>
          <w:rFonts w:ascii="Times New Roman" w:eastAsia="맑은 고딕" w:hAnsi="Times New Roman" w:cs="Times New Roman"/>
          <w:sz w:val="24"/>
          <w:szCs w:val="24"/>
        </w:rPr>
        <w:t>Guillain</w:t>
      </w:r>
      <w:r w:rsidR="00D0169E" w:rsidRPr="0031788E">
        <w:rPr>
          <w:rFonts w:ascii="Times New Roman" w:eastAsia="맑은 고딕" w:hAnsi="Times New Roman" w:cs="Times New Roman"/>
          <w:sz w:val="24"/>
          <w:szCs w:val="24"/>
        </w:rPr>
        <w:t>-</w:t>
      </w:r>
      <w:r w:rsidR="00512C6C" w:rsidRPr="0031788E">
        <w:rPr>
          <w:rFonts w:ascii="Times New Roman" w:eastAsia="맑은 고딕" w:hAnsi="Times New Roman" w:cs="Times New Roman"/>
          <w:sz w:val="24"/>
          <w:szCs w:val="24"/>
        </w:rPr>
        <w:t>Barr</w:t>
      </w:r>
      <w:r w:rsidR="00D57A6E" w:rsidRPr="0031788E">
        <w:rPr>
          <w:rFonts w:ascii="Times New Roman" w:eastAsia="맑은 고딕" w:hAnsi="Times New Roman" w:cs="Times New Roman"/>
          <w:sz w:val="24"/>
          <w:szCs w:val="24"/>
        </w:rPr>
        <w:t>é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syndrome [</w:t>
      </w:r>
      <w:r w:rsidR="00C77115" w:rsidRPr="0031788E">
        <w:rPr>
          <w:rFonts w:ascii="Times New Roman" w:eastAsia="맑은 고딕" w:hAnsi="Times New Roman" w:cs="Times New Roman"/>
          <w:sz w:val="24"/>
          <w:szCs w:val="24"/>
        </w:rPr>
        <w:t>7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].</w:t>
      </w:r>
      <w:r w:rsidR="006403F2" w:rsidRPr="0031788E">
        <w:rPr>
          <w:rFonts w:ascii="Times New Roman" w:eastAsia="맑은 고딕" w:hAnsi="Times New Roman" w:cs="Times New Roman"/>
          <w:sz w:val="24"/>
          <w:szCs w:val="24"/>
        </w:rPr>
        <w:t xml:space="preserve"> To 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>exclude</w:t>
      </w:r>
      <w:r w:rsidR="006403F2" w:rsidRPr="0031788E">
        <w:rPr>
          <w:rFonts w:ascii="Times New Roman" w:eastAsia="맑은 고딕" w:hAnsi="Times New Roman" w:cs="Times New Roman"/>
          <w:sz w:val="24"/>
          <w:szCs w:val="24"/>
        </w:rPr>
        <w:t xml:space="preserve"> the possibility of this disease, abdominal and pelvic 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>computed tomography (</w:t>
      </w:r>
      <w:r w:rsidR="006403F2" w:rsidRPr="0031788E">
        <w:rPr>
          <w:rFonts w:ascii="Times New Roman" w:eastAsia="맑은 고딕" w:hAnsi="Times New Roman" w:cs="Times New Roman"/>
          <w:sz w:val="24"/>
          <w:szCs w:val="24"/>
        </w:rPr>
        <w:t>CT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>)</w:t>
      </w:r>
      <w:r w:rsidR="006403F2" w:rsidRPr="0031788E">
        <w:rPr>
          <w:rFonts w:ascii="Times New Roman" w:eastAsia="맑은 고딕" w:hAnsi="Times New Roman" w:cs="Times New Roman"/>
          <w:sz w:val="24"/>
          <w:szCs w:val="24"/>
        </w:rPr>
        <w:t xml:space="preserve"> scans are required. </w:t>
      </w:r>
    </w:p>
    <w:p w14:paraId="54BC1770" w14:textId="77777777" w:rsidR="00D0169E" w:rsidRPr="0031788E" w:rsidRDefault="00D0169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5DBD4DC5" w14:textId="2DE709D8" w:rsidR="00A76FE8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bCs/>
          <w:sz w:val="24"/>
          <w:szCs w:val="24"/>
        </w:rPr>
        <w:t>Diagnostic assessment</w:t>
      </w:r>
    </w:p>
    <w:p w14:paraId="04C14685" w14:textId="37FAEC22" w:rsidR="00E83EE1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In</w:t>
      </w:r>
      <w:r w:rsidR="005223C3" w:rsidRPr="0031788E">
        <w:rPr>
          <w:rFonts w:ascii="Times New Roman" w:eastAsia="맑은 고딕" w:hAnsi="Times New Roman" w:cs="Times New Roman"/>
          <w:sz w:val="24"/>
          <w:szCs w:val="24"/>
        </w:rPr>
        <w:t xml:space="preserve"> the electrophysiologic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al study, </w:t>
      </w:r>
      <w:r w:rsidR="0026425E" w:rsidRPr="0031788E">
        <w:rPr>
          <w:rFonts w:ascii="Times New Roman" w:eastAsia="맑은 고딕" w:hAnsi="Times New Roman" w:cs="Times New Roman"/>
          <w:sz w:val="24"/>
          <w:szCs w:val="24"/>
        </w:rPr>
        <w:t xml:space="preserve">the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amplitude of compound muscle action potentials 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 xml:space="preserve">of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the right peroneal nerve was </w:t>
      </w:r>
      <w:r w:rsidR="0026425E" w:rsidRPr="0031788E">
        <w:rPr>
          <w:rFonts w:ascii="Times New Roman" w:eastAsia="맑은 고딕" w:hAnsi="Times New Roman" w:cs="Times New Roman"/>
          <w:sz w:val="24"/>
          <w:szCs w:val="24"/>
        </w:rPr>
        <w:t>decreased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, and there were no abnormal findings in the sensory nerve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lastRenderedPageBreak/>
        <w:t>action potential</w:t>
      </w:r>
      <w:r w:rsidR="00B1644E" w:rsidRPr="0031788E">
        <w:rPr>
          <w:rFonts w:ascii="Times New Roman" w:eastAsia="맑은 고딕" w:hAnsi="Times New Roman" w:cs="Times New Roman"/>
          <w:sz w:val="24"/>
          <w:szCs w:val="24"/>
        </w:rPr>
        <w:t xml:space="preserve"> (Table 1)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. In needle </w:t>
      </w:r>
      <w:r w:rsidR="006A255A" w:rsidRPr="0031788E">
        <w:rPr>
          <w:rFonts w:ascii="Times New Roman" w:eastAsia="맑은 고딕" w:hAnsi="Times New Roman" w:cs="Times New Roman"/>
          <w:sz w:val="24"/>
          <w:szCs w:val="24"/>
        </w:rPr>
        <w:t>EMG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, positive sharp waves and fibrillation potentials 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 xml:space="preserve">of varying degrees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were found in the cervical, thoracic, and lumbar paraspinal muscles and muscles of all four extremities, and long-duration complex motor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>-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unit action potentials with reduced interference patterns were found in the muscles of the right lower limb.</w:t>
      </w:r>
      <w:r w:rsidR="00B82EBD" w:rsidRPr="0031788E">
        <w:rPr>
          <w:rFonts w:ascii="Times New Roman" w:eastAsia="맑은 고딕" w:hAnsi="Times New Roman" w:cs="Times New Roman"/>
          <w:sz w:val="24"/>
          <w:szCs w:val="24"/>
        </w:rPr>
        <w:t xml:space="preserve"> The bulbar muscles were preserved, and m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yopathic discharges or early recruitment </w:t>
      </w:r>
      <w:r w:rsidR="00766468" w:rsidRPr="0031788E">
        <w:rPr>
          <w:rFonts w:ascii="Times New Roman" w:eastAsia="맑은 고딕" w:hAnsi="Times New Roman" w:cs="Times New Roman"/>
          <w:sz w:val="24"/>
          <w:szCs w:val="24"/>
        </w:rPr>
        <w:t>patterns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were not observed</w:t>
      </w:r>
      <w:r w:rsidR="00B82EBD" w:rsidRPr="0031788E">
        <w:rPr>
          <w:rFonts w:ascii="Times New Roman" w:eastAsia="맑은 고딕" w:hAnsi="Times New Roman" w:cs="Times New Roman"/>
          <w:sz w:val="24"/>
          <w:szCs w:val="24"/>
        </w:rPr>
        <w:t xml:space="preserve"> in any of the examined muscles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  <w:r w:rsidR="0006213A" w:rsidRPr="0031788E">
        <w:rPr>
          <w:rFonts w:ascii="Times New Roman" w:eastAsia="맑은 고딕" w:hAnsi="Times New Roman" w:cs="Times New Roman"/>
          <w:sz w:val="24"/>
          <w:szCs w:val="24"/>
        </w:rPr>
        <w:t xml:space="preserve">In addition,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the </w:t>
      </w:r>
      <w:r w:rsidR="00B8181F" w:rsidRPr="0031788E">
        <w:rPr>
          <w:rFonts w:ascii="Times New Roman" w:eastAsia="맑은 고딕" w:hAnsi="Times New Roman" w:cs="Times New Roman"/>
          <w:sz w:val="24"/>
          <w:szCs w:val="24"/>
        </w:rPr>
        <w:t xml:space="preserve">serum creatine phosphokinase </w:t>
      </w:r>
      <w:r w:rsidR="00CE4807" w:rsidRPr="0031788E">
        <w:rPr>
          <w:rFonts w:ascii="Times New Roman" w:eastAsia="맑은 고딕" w:hAnsi="Times New Roman" w:cs="Times New Roman"/>
          <w:sz w:val="24"/>
          <w:szCs w:val="24"/>
        </w:rPr>
        <w:t>level slight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ly increased to</w:t>
      </w:r>
      <w:r w:rsidR="009A26F1" w:rsidRPr="0031788E">
        <w:rPr>
          <w:rFonts w:ascii="Times New Roman" w:eastAsia="맑은 고딕" w:hAnsi="Times New Roman" w:cs="Times New Roman"/>
          <w:sz w:val="24"/>
          <w:szCs w:val="24"/>
        </w:rPr>
        <w:t xml:space="preserve"> 235</w:t>
      </w:r>
      <w:r w:rsidR="00821581" w:rsidRPr="0031788E">
        <w:rPr>
          <w:rFonts w:ascii="Times New Roman" w:eastAsia="맑은 고딕" w:hAnsi="Times New Roman" w:cs="Times New Roman"/>
          <w:sz w:val="24"/>
          <w:szCs w:val="24"/>
        </w:rPr>
        <w:t xml:space="preserve"> IU/L. Except </w:t>
      </w:r>
      <w:r w:rsidR="006749FC" w:rsidRPr="0031788E">
        <w:rPr>
          <w:rFonts w:ascii="Times New Roman" w:eastAsia="맑은 고딕" w:hAnsi="Times New Roman" w:cs="Times New Roman"/>
          <w:sz w:val="24"/>
          <w:szCs w:val="24"/>
        </w:rPr>
        <w:t xml:space="preserve">for </w:t>
      </w:r>
      <w:r w:rsidR="00821581" w:rsidRPr="0031788E">
        <w:rPr>
          <w:rFonts w:ascii="Times New Roman" w:eastAsia="맑은 고딕" w:hAnsi="Times New Roman" w:cs="Times New Roman"/>
          <w:sz w:val="24"/>
          <w:szCs w:val="24"/>
        </w:rPr>
        <w:t>this,</w:t>
      </w:r>
      <w:r w:rsidR="00B8181F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no abnormal finding</w:t>
      </w:r>
      <w:r w:rsidR="0006213A" w:rsidRPr="0031788E">
        <w:rPr>
          <w:rFonts w:ascii="Times New Roman" w:eastAsia="맑은 고딕" w:hAnsi="Times New Roman" w:cs="Times New Roman"/>
          <w:sz w:val="24"/>
          <w:szCs w:val="24"/>
        </w:rPr>
        <w:t>s were found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in the </w:t>
      </w:r>
      <w:r w:rsidR="0006213A" w:rsidRPr="0031788E">
        <w:rPr>
          <w:rFonts w:ascii="Times New Roman" w:eastAsia="맑은 고딕" w:hAnsi="Times New Roman" w:cs="Times New Roman"/>
          <w:sz w:val="24"/>
          <w:szCs w:val="24"/>
        </w:rPr>
        <w:t>laboratory tests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, including complete blood count, C-reactive protein level, erythrocyte sedimentation rate, thyroid function test, and liver and kidney function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  <w:r w:rsidR="0006213A" w:rsidRPr="0031788E">
        <w:rPr>
          <w:rFonts w:ascii="Times New Roman" w:eastAsia="맑은 고딕" w:hAnsi="Times New Roman" w:cs="Times New Roman"/>
          <w:sz w:val="24"/>
          <w:szCs w:val="24"/>
        </w:rPr>
        <w:t>No abnormal finding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s </w:t>
      </w:r>
      <w:r w:rsidR="0006213A" w:rsidRPr="0031788E">
        <w:rPr>
          <w:rFonts w:ascii="Times New Roman" w:eastAsia="맑은 고딕" w:hAnsi="Times New Roman" w:cs="Times New Roman"/>
          <w:sz w:val="24"/>
          <w:szCs w:val="24"/>
        </w:rPr>
        <w:t>were observed on brain CT scan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 xml:space="preserve"> images</w:t>
      </w:r>
      <w:r w:rsidR="0006213A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="00B82EBD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</w:p>
    <w:p w14:paraId="2C80E109" w14:textId="3584178E" w:rsidR="00B77BF0" w:rsidRPr="0031788E" w:rsidRDefault="00672306" w:rsidP="0031788E">
      <w:pPr>
        <w:widowControl w:val="0"/>
        <w:spacing w:before="0" w:after="0" w:line="480" w:lineRule="auto"/>
        <w:ind w:firstLine="30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Based on these findings, the patient was diagnosed with LMN-predominant ALS</w:t>
      </w:r>
      <w:r w:rsidR="007F4BD2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according to the </w:t>
      </w:r>
      <w:r w:rsidR="0047236F" w:rsidRPr="0031788E">
        <w:rPr>
          <w:rFonts w:ascii="Times New Roman" w:eastAsia="맑은 고딕" w:hAnsi="Times New Roman" w:cs="Times New Roman"/>
          <w:sz w:val="24"/>
          <w:szCs w:val="24"/>
        </w:rPr>
        <w:t>r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evised El Escorial criteria</w:t>
      </w:r>
      <w:r w:rsidR="007F4BD2" w:rsidRPr="0031788E">
        <w:rPr>
          <w:rFonts w:ascii="Times New Roman" w:eastAsia="맑은 고딕" w:hAnsi="Times New Roman" w:cs="Times New Roman"/>
          <w:sz w:val="24"/>
          <w:szCs w:val="24"/>
        </w:rPr>
        <w:t>-2015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[</w:t>
      </w:r>
      <w:r w:rsidR="00FC374B" w:rsidRPr="0031788E">
        <w:rPr>
          <w:rFonts w:ascii="Times New Roman" w:eastAsia="맑은 고딕" w:hAnsi="Times New Roman" w:cs="Times New Roman"/>
          <w:sz w:val="24"/>
          <w:szCs w:val="24"/>
        </w:rPr>
        <w:t>8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]</w:t>
      </w:r>
      <w:r w:rsidR="007F4BD2" w:rsidRPr="0031788E">
        <w:rPr>
          <w:rFonts w:ascii="Times New Roman" w:eastAsia="맑은 고딕" w:hAnsi="Times New Roman" w:cs="Times New Roman"/>
          <w:sz w:val="24"/>
          <w:szCs w:val="24"/>
        </w:rPr>
        <w:t>, and all other disorders were ruled out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.</w:t>
      </w:r>
    </w:p>
    <w:p w14:paraId="0FDD219B" w14:textId="77777777" w:rsidR="00565E53" w:rsidRPr="0031788E" w:rsidRDefault="00565E53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2D771DAF" w14:textId="77777777" w:rsidR="00920F44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t>Discussion</w:t>
      </w:r>
    </w:p>
    <w:p w14:paraId="30C49962" w14:textId="70E6DDD3" w:rsidR="007F4BD2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ALS is diagnosed when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“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progressive upper and </w:t>
      </w:r>
      <w:r w:rsidR="00E2235D" w:rsidRPr="0031788E">
        <w:rPr>
          <w:rFonts w:ascii="Times New Roman" w:eastAsia="맑은 고딕" w:hAnsi="Times New Roman" w:cs="Times New Roman"/>
          <w:sz w:val="24"/>
          <w:szCs w:val="24"/>
        </w:rPr>
        <w:t>LMN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deficits in at least one limb or region of the human body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”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and/or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“</w:t>
      </w:r>
      <w:r w:rsidR="00BA3F8B" w:rsidRPr="0031788E">
        <w:rPr>
          <w:rFonts w:ascii="Times New Roman" w:eastAsia="맑은 고딕" w:hAnsi="Times New Roman" w:cs="Times New Roman"/>
          <w:sz w:val="24"/>
          <w:szCs w:val="24"/>
        </w:rPr>
        <w:t>LMN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deficits as defined by clinical examination (one region) and/or by EMG in two body regions (defined as bulbar, cervical, thoracic, lumbosacral)</w:t>
      </w:r>
      <w:r w:rsidR="00EE40A2" w:rsidRPr="0031788E">
        <w:rPr>
          <w:rFonts w:ascii="Times New Roman" w:eastAsia="맑은 고딕" w:hAnsi="Times New Roman" w:cs="Times New Roman"/>
          <w:sz w:val="24"/>
          <w:szCs w:val="24"/>
        </w:rPr>
        <w:t>”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are present 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>[8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]. However, early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-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stage ALS is difficult to differentiate from other diseases that may show similar clinical symptoms, especially radiculopathy [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>9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]. </w:t>
      </w:r>
      <w:r w:rsidR="00DA22F2" w:rsidRPr="0031788E">
        <w:rPr>
          <w:rFonts w:ascii="Times New Roman" w:eastAsia="맑은 고딕" w:hAnsi="Times New Roman" w:cs="Times New Roman"/>
          <w:sz w:val="24"/>
          <w:szCs w:val="24"/>
        </w:rPr>
        <w:t xml:space="preserve">Considering that misdiagnosis of cervical or lumbar radiculopathy might </w:t>
      </w:r>
      <w:r w:rsidR="005C54DE" w:rsidRPr="0031788E">
        <w:rPr>
          <w:rFonts w:ascii="Times New Roman" w:eastAsia="맑은 고딕" w:hAnsi="Times New Roman" w:cs="Times New Roman"/>
          <w:sz w:val="24"/>
          <w:szCs w:val="24"/>
        </w:rPr>
        <w:t>result in unnecessary surgeries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, which </w:t>
      </w:r>
      <w:r w:rsidR="005C54DE" w:rsidRPr="0031788E">
        <w:rPr>
          <w:rFonts w:ascii="Times New Roman" w:eastAsia="맑은 고딕" w:hAnsi="Times New Roman" w:cs="Times New Roman"/>
          <w:sz w:val="24"/>
          <w:szCs w:val="24"/>
        </w:rPr>
        <w:t xml:space="preserve">are known to significantly worsen the prognosis of ALS,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a correct diagnosis of ALS is of great importance. 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 xml:space="preserve">In an effort to differentiate early stages of ALS from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other disorders with similar presentations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>, the concept of split</w:t>
      </w:r>
      <w:r w:rsidR="0047236F" w:rsidRPr="0031788E">
        <w:rPr>
          <w:rFonts w:ascii="Times New Roman" w:eastAsia="맑은 고딕" w:hAnsi="Times New Roman" w:cs="Times New Roman"/>
          <w:sz w:val="24"/>
          <w:szCs w:val="24"/>
        </w:rPr>
        <w:t>-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 xml:space="preserve">leg sign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(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>prominent wasting of ankle plantar flexor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s compared to ankle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lastRenderedPageBreak/>
        <w:t>dorsiflexors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)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 xml:space="preserve"> was proposed [10]. However,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this concept is still controversial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 xml:space="preserve"> [6]; our patient showed greater motor weakness in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 xml:space="preserve">his 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>ankle dorsiflexor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 xml:space="preserve"> than in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 xml:space="preserve">his 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>ankle plantar flexor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s. </w:t>
      </w:r>
      <w:r w:rsidR="00DA22F2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</w:p>
    <w:p w14:paraId="2D75FC79" w14:textId="13D347D8" w:rsidR="00920F44" w:rsidRPr="0031788E" w:rsidRDefault="00672306" w:rsidP="0031788E">
      <w:pPr>
        <w:widowControl w:val="0"/>
        <w:spacing w:before="0" w:after="0" w:line="480" w:lineRule="auto"/>
        <w:ind w:firstLine="30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Currently, there is no cure for </w:t>
      </w:r>
      <w:r w:rsidR="0041430D" w:rsidRPr="0031788E">
        <w:rPr>
          <w:rFonts w:ascii="Times New Roman" w:eastAsia="맑은 고딕" w:hAnsi="Times New Roman" w:cs="Times New Roman"/>
          <w:sz w:val="24"/>
          <w:szCs w:val="24"/>
        </w:rPr>
        <w:t xml:space="preserve">ALS.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However,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 xml:space="preserve"> early diagnosis is important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to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 xml:space="preserve"> reduce uncertainty and thus the </w:t>
      </w:r>
      <w:r w:rsidR="00EE6356" w:rsidRPr="0031788E">
        <w:rPr>
          <w:rFonts w:ascii="Times New Roman" w:eastAsia="맑은 고딕" w:hAnsi="Times New Roman" w:cs="Times New Roman"/>
          <w:sz w:val="24"/>
          <w:szCs w:val="24"/>
        </w:rPr>
        <w:t xml:space="preserve">patient’s 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>distress and anxiety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, even though the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 xml:space="preserve">disease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prognosis is poor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 xml:space="preserve">This 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>prevent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="00CA6489" w:rsidRPr="0031788E">
        <w:rPr>
          <w:rFonts w:ascii="Times New Roman" w:eastAsia="맑은 고딕" w:hAnsi="Times New Roman" w:cs="Times New Roman"/>
          <w:sz w:val="24"/>
          <w:szCs w:val="24"/>
        </w:rPr>
        <w:t xml:space="preserve"> unnecessary examinations and surgeries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,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CA6489" w:rsidRPr="0031788E">
        <w:rPr>
          <w:rFonts w:ascii="Times New Roman" w:eastAsia="맑은 고딕" w:hAnsi="Times New Roman" w:cs="Times New Roman"/>
          <w:sz w:val="24"/>
          <w:szCs w:val="24"/>
        </w:rPr>
        <w:t>facilitate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="00CA6489" w:rsidRPr="0031788E">
        <w:rPr>
          <w:rFonts w:ascii="Times New Roman" w:eastAsia="맑은 고딕" w:hAnsi="Times New Roman" w:cs="Times New Roman"/>
          <w:sz w:val="24"/>
          <w:szCs w:val="24"/>
        </w:rPr>
        <w:t xml:space="preserve"> making future medical plans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,</w:t>
      </w:r>
      <w:r w:rsidR="00CA6489" w:rsidRPr="0031788E">
        <w:rPr>
          <w:rFonts w:ascii="Times New Roman" w:eastAsia="맑은 고딕" w:hAnsi="Times New Roman" w:cs="Times New Roman"/>
          <w:sz w:val="24"/>
          <w:szCs w:val="24"/>
        </w:rPr>
        <w:t xml:space="preserve"> and 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>provide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CA6489" w:rsidRPr="0031788E">
        <w:rPr>
          <w:rFonts w:ascii="Times New Roman" w:eastAsia="맑은 고딕" w:hAnsi="Times New Roman" w:cs="Times New Roman"/>
          <w:sz w:val="24"/>
          <w:szCs w:val="24"/>
        </w:rPr>
        <w:t xml:space="preserve">opportunities for </w:t>
      </w:r>
      <w:r w:rsidR="00DF5770" w:rsidRPr="0031788E">
        <w:rPr>
          <w:rFonts w:ascii="Times New Roman" w:eastAsia="맑은 고딕" w:hAnsi="Times New Roman" w:cs="Times New Roman"/>
          <w:sz w:val="24"/>
          <w:szCs w:val="24"/>
        </w:rPr>
        <w:t xml:space="preserve">enrollment in clinical trials and for treatment with neuroprotective agents earlier when fewer motor neurons 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 xml:space="preserve">have </w:t>
      </w:r>
      <w:r w:rsidR="00DF5770" w:rsidRPr="0031788E">
        <w:rPr>
          <w:rFonts w:ascii="Times New Roman" w:eastAsia="맑은 고딕" w:hAnsi="Times New Roman" w:cs="Times New Roman"/>
          <w:sz w:val="24"/>
          <w:szCs w:val="24"/>
        </w:rPr>
        <w:t>degenerated. In addition,</w:t>
      </w:r>
      <w:r w:rsidR="00C27E5C" w:rsidRPr="0031788E">
        <w:rPr>
          <w:rFonts w:ascii="Times New Roman" w:eastAsia="맑은 고딕" w:hAnsi="Times New Roman" w:cs="Times New Roman"/>
          <w:sz w:val="24"/>
          <w:szCs w:val="24"/>
        </w:rPr>
        <w:t xml:space="preserve"> it is known that</w:t>
      </w:r>
      <w:r w:rsidR="00DF5770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F35692" w:rsidRPr="0031788E">
        <w:rPr>
          <w:rFonts w:ascii="Times New Roman" w:eastAsia="맑은 고딕" w:hAnsi="Times New Roman" w:cs="Times New Roman"/>
          <w:sz w:val="24"/>
          <w:szCs w:val="24"/>
        </w:rPr>
        <w:t>timely initiation of respiratory support using non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-invasive or invasive ventilation and </w:t>
      </w:r>
      <w:r w:rsidR="00C27E5C" w:rsidRPr="0031788E">
        <w:rPr>
          <w:rFonts w:ascii="Times New Roman" w:eastAsia="맑은 고딕" w:hAnsi="Times New Roman" w:cs="Times New Roman"/>
          <w:sz w:val="24"/>
          <w:szCs w:val="24"/>
        </w:rPr>
        <w:t xml:space="preserve">securing nutrient supply through feeding gastrostomy </w:t>
      </w:r>
      <w:r w:rsidR="00F35692" w:rsidRPr="0031788E">
        <w:rPr>
          <w:rFonts w:ascii="Times New Roman" w:eastAsia="맑은 고딕" w:hAnsi="Times New Roman" w:cs="Times New Roman"/>
          <w:sz w:val="24"/>
          <w:szCs w:val="24"/>
        </w:rPr>
        <w:t>improves</w:t>
      </w:r>
      <w:r w:rsidR="00C27E5C" w:rsidRPr="0031788E">
        <w:rPr>
          <w:rFonts w:ascii="Times New Roman" w:eastAsia="맑은 고딕" w:hAnsi="Times New Roman" w:cs="Times New Roman"/>
          <w:sz w:val="24"/>
          <w:szCs w:val="24"/>
        </w:rPr>
        <w:t xml:space="preserve"> the survival </w:t>
      </w:r>
      <w:r w:rsidR="00F35692" w:rsidRPr="0031788E">
        <w:rPr>
          <w:rFonts w:ascii="Times New Roman" w:eastAsia="맑은 고딕" w:hAnsi="Times New Roman" w:cs="Times New Roman"/>
          <w:sz w:val="24"/>
          <w:szCs w:val="24"/>
        </w:rPr>
        <w:t>and quality of life of patients with ALS</w:t>
      </w:r>
      <w:r w:rsidR="00F41369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="0041430D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</w:p>
    <w:p w14:paraId="02EDA4DF" w14:textId="77777777" w:rsidR="006863CD" w:rsidRPr="0031788E" w:rsidRDefault="006863CD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7C35B661" w14:textId="3A21A52D" w:rsidR="006863CD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bCs/>
          <w:sz w:val="24"/>
          <w:szCs w:val="24"/>
        </w:rPr>
        <w:t>Conclusion</w:t>
      </w:r>
    </w:p>
    <w:p w14:paraId="2263821B" w14:textId="2B77D53A" w:rsidR="00920F44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W</w:t>
      </w:r>
      <w:r w:rsidR="00D0439F" w:rsidRPr="0031788E">
        <w:rPr>
          <w:rFonts w:ascii="Times New Roman" w:eastAsia="맑은 고딕" w:hAnsi="Times New Roman" w:cs="Times New Roman"/>
          <w:sz w:val="24"/>
          <w:szCs w:val="24"/>
        </w:rPr>
        <w:t xml:space="preserve">hen clinicians encounter patients with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progressive</w:t>
      </w:r>
      <w:r w:rsidR="00D0439F" w:rsidRPr="0031788E">
        <w:rPr>
          <w:rFonts w:ascii="Times New Roman" w:eastAsia="맑은 고딕" w:hAnsi="Times New Roman" w:cs="Times New Roman"/>
          <w:sz w:val="24"/>
          <w:szCs w:val="24"/>
        </w:rPr>
        <w:t xml:space="preserve"> motor weakness without sensory symptoms, they should always keep in mind the possibility of ALS. </w:t>
      </w:r>
      <w:r w:rsidR="0041430D" w:rsidRPr="0031788E">
        <w:rPr>
          <w:rFonts w:ascii="Times New Roman" w:eastAsia="맑은 고딕" w:hAnsi="Times New Roman" w:cs="Times New Roman"/>
          <w:sz w:val="24"/>
          <w:szCs w:val="24"/>
        </w:rPr>
        <w:t xml:space="preserve">Accurate diagnosis of ALS prevents patients from receiving unnecessary treatment and greatly contributes to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improvement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41430D" w:rsidRPr="0031788E">
        <w:rPr>
          <w:rFonts w:ascii="Times New Roman" w:eastAsia="맑은 고딕" w:hAnsi="Times New Roman" w:cs="Times New Roman"/>
          <w:sz w:val="24"/>
          <w:szCs w:val="24"/>
        </w:rPr>
        <w:t xml:space="preserve">in life expectancy and </w:t>
      </w:r>
      <w:r w:rsidR="00EE6356" w:rsidRPr="0031788E">
        <w:rPr>
          <w:rFonts w:ascii="Times New Roman" w:eastAsia="맑은 고딕" w:hAnsi="Times New Roman" w:cs="Times New Roman"/>
          <w:sz w:val="24"/>
          <w:szCs w:val="24"/>
        </w:rPr>
        <w:t>quality of life</w:t>
      </w:r>
      <w:r w:rsidR="0041430D" w:rsidRPr="0031788E">
        <w:rPr>
          <w:rFonts w:ascii="Times New Roman" w:eastAsia="맑은 고딕" w:hAnsi="Times New Roman" w:cs="Times New Roman"/>
          <w:sz w:val="24"/>
          <w:szCs w:val="24"/>
        </w:rPr>
        <w:t>.</w:t>
      </w:r>
    </w:p>
    <w:p w14:paraId="75DD5C9A" w14:textId="7B0A99F7" w:rsidR="006A255A" w:rsidRPr="0031788E" w:rsidRDefault="006A255A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00FEB181" w14:textId="77777777" w:rsidR="00F73584" w:rsidRDefault="00F73584" w:rsidP="00F73584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</w:rPr>
      </w:pPr>
      <w:r>
        <w:rPr>
          <w:rFonts w:ascii="Times New Roman" w:eastAsia="맑은 고딕" w:hAnsi="Times New Roman" w:cs="Times New Roman"/>
          <w:b/>
          <w:bCs/>
          <w:sz w:val="24"/>
          <w:szCs w:val="24"/>
        </w:rPr>
        <w:t>Article information</w:t>
      </w:r>
    </w:p>
    <w:p w14:paraId="05DED4F5" w14:textId="77777777" w:rsidR="006A255A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  <w:bookmarkStart w:id="0" w:name="_GoBack"/>
      <w:bookmarkEnd w:id="0"/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t>Ethical statements</w:t>
      </w:r>
    </w:p>
    <w:p w14:paraId="509C6D35" w14:textId="7E6B11A9" w:rsidR="006A255A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This study was conducted in accordance with the Declaration of Helsinki and was reviewed and approved by the 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I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nstitutional 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R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eview 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B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oard</w:t>
      </w:r>
      <w:r w:rsidR="0031788E">
        <w:rPr>
          <w:rFonts w:ascii="Times New Roman" w:eastAsia="맑은 고딕" w:hAnsi="Times New Roman" w:cs="Times New Roman"/>
          <w:sz w:val="24"/>
          <w:szCs w:val="24"/>
        </w:rPr>
        <w:t xml:space="preserve"> (IRB)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of </w:t>
      </w:r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>Yeungnam University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 xml:space="preserve">Hospital </w:t>
      </w:r>
      <w:r w:rsidR="00B02CCC" w:rsidRPr="0031788E">
        <w:rPr>
          <w:rFonts w:ascii="Times New Roman" w:eastAsia="맑은 고딕" w:hAnsi="Times New Roman" w:cs="Times New Roman"/>
          <w:sz w:val="24"/>
          <w:szCs w:val="24"/>
        </w:rPr>
        <w:t>(IRB No</w:t>
      </w:r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 xml:space="preserve">: </w:t>
      </w:r>
      <w:r w:rsidR="00B02CCC" w:rsidRPr="0031788E">
        <w:rPr>
          <w:rFonts w:ascii="Times New Roman" w:eastAsia="맑은 고딕" w:hAnsi="Times New Roman" w:cs="Times New Roman"/>
          <w:sz w:val="24"/>
          <w:szCs w:val="24"/>
        </w:rPr>
        <w:t>2022-08-030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). Written consent was obtained from 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the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patient.</w:t>
      </w:r>
    </w:p>
    <w:p w14:paraId="2932B17E" w14:textId="77777777" w:rsidR="006A255A" w:rsidRPr="0031788E" w:rsidRDefault="006A255A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1C16588E" w14:textId="782471E7" w:rsidR="006A255A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lastRenderedPageBreak/>
        <w:t>Conflicts of interest</w:t>
      </w:r>
    </w:p>
    <w:p w14:paraId="3ADB288E" w14:textId="126F9252" w:rsidR="006A255A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No potential conflict of interest relevant to this article was reported.</w:t>
      </w:r>
    </w:p>
    <w:p w14:paraId="13B3BA4A" w14:textId="77777777" w:rsidR="006A255A" w:rsidRPr="0031788E" w:rsidRDefault="006A255A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04AFB0D9" w14:textId="1B547FB3" w:rsidR="006A255A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t>Funding</w:t>
      </w:r>
    </w:p>
    <w:p w14:paraId="63201F77" w14:textId="77777777" w:rsidR="006A255A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None.</w:t>
      </w:r>
    </w:p>
    <w:p w14:paraId="2499DB0C" w14:textId="6A6CEC0B" w:rsidR="00BE54B8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  <w:shd w:val="clear" w:color="auto" w:fill="FFFFFF"/>
        </w:rPr>
      </w:pPr>
      <w:r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br w:type="page"/>
      </w:r>
      <w:r w:rsidRPr="0031788E">
        <w:rPr>
          <w:rFonts w:ascii="Times New Roman" w:eastAsia="맑은 고딕" w:hAnsi="Times New Roman" w:cs="Times New Roman"/>
          <w:b/>
          <w:sz w:val="24"/>
          <w:szCs w:val="24"/>
          <w:shd w:val="clear" w:color="auto" w:fill="FFFFFF"/>
        </w:rPr>
        <w:lastRenderedPageBreak/>
        <w:t>References</w:t>
      </w:r>
    </w:p>
    <w:p w14:paraId="3D7515BB" w14:textId="25E0DD56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</w:pPr>
      <w:r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1. Turner M, Jenkins L. Defining the syndrome. In: Turner M, Jenkins L, editors. Diagnosing amyotrophic lateral sclerosis: clinical wisdom to facilitate faster diagnosis. Oxford: </w:t>
      </w:r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Karger Abingdon</w:t>
      </w:r>
      <w:r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; 2020. p. 7</w:t>
      </w:r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-</w:t>
      </w:r>
      <w:r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24. </w:t>
      </w:r>
    </w:p>
    <w:p w14:paraId="4FCF6D84" w14:textId="663187B3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</w:pPr>
      <w:r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Joint Task Force of the EFNS and the PNS. European Federation of Neurological Societies/Peripheral Nerve Society guideline on management of multifocal motor neuropathy. Report of a joint task force of the European Federation of Neurological Societies and the Peripheral Nerve Society--first revision. J Peripher Nerv Syst 2010;15:295-301. </w:t>
      </w:r>
    </w:p>
    <w:p w14:paraId="63A93ED6" w14:textId="152FCD73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3. </w:t>
      </w:r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Li Hi Shing S, Chipika RH, Finegan E, Murray D, Hardiman O, Bede P. Post-polio syndrome: more than just a lower motor neuron disease. Front Neurol 2019;10:773. </w:t>
      </w:r>
    </w:p>
    <w:p w14:paraId="6EDC886F" w14:textId="46E3F0B0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</w:pPr>
      <w:r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4. </w:t>
      </w:r>
      <w:r w:rsidR="00CD5676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Dyck PJ, Tracy JA. History, diagnosis, and management of chronic inflammatory demyelinating polyradiculoneuropathy. Mayo Clin Proc 2018;93:777-93. </w:t>
      </w:r>
    </w:p>
    <w:p w14:paraId="1D6AEB5C" w14:textId="4EF60736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</w:pPr>
      <w:r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5. </w:t>
      </w:r>
      <w:r w:rsidR="006A43DF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Manzano R, Sorarú G, Grunseich C, Fratta P, Zuccaro E, Pennuto M</w:t>
      </w:r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, et al. Beyond motor neurons: expanding the clinical spectrum in Kennedy’s disease. J Neurol Neurosurg Psychiatry 2018;89:808-12. </w:t>
      </w:r>
    </w:p>
    <w:p w14:paraId="29D3E497" w14:textId="4F7F7A95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</w:pPr>
      <w:r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6. </w:t>
      </w:r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Singh N, Ray S, Srivastava A. Clinical mimickers of amyotrophic lateral sclerosis-conditions we cannot afford to miss. Ann Indian Acad Neurol 2018;21:173-8. </w:t>
      </w:r>
    </w:p>
    <w:p w14:paraId="40F5493A" w14:textId="3F3A4E79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7. </w:t>
      </w:r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Koike H, Tanaka F, Sobue G. Paraneoplastic neuropathy: wide-ranging clinicopathological manifestations. Curr Opin Neurol 2011;24:504-10. </w:t>
      </w:r>
    </w:p>
    <w:p w14:paraId="1D06FDC7" w14:textId="6DE6F4FD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8. </w:t>
      </w:r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Ludolph A, Drory V, Hardiman O, Nakano I, Ravits J, Robberecht W, et al. A revision of the El Escorial criteria - 2015. Amyotroph Lateral Scler Frontotemporal Degener 2015;16:291-2. </w:t>
      </w:r>
    </w:p>
    <w:p w14:paraId="30428E9D" w14:textId="505190A9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lastRenderedPageBreak/>
        <w:t xml:space="preserve">9. </w:t>
      </w:r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 xml:space="preserve">Kwak S, Kim DH, Boudier-Revéret M, Chang MC. Amyotrophic lateral sclerosis mimicking radiculopathy: a case series. Nagoya J Med Sci 2021;83:877-81. </w:t>
      </w:r>
    </w:p>
    <w:p w14:paraId="0465F647" w14:textId="3B0ED329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10. </w:t>
      </w:r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>Simon NG, Lee M, Bae JS, Mioshi E, Lin CS, Pfluger CM, et al. Dissociated lower limb muscle involvement in amyotrophic lateral sclero</w:t>
      </w:r>
      <w:r w:rsidR="00EF0649">
        <w:rPr>
          <w:rFonts w:ascii="Times New Roman" w:eastAsia="맑은 고딕" w:hAnsi="Times New Roman" w:cs="Times New Roman"/>
          <w:sz w:val="24"/>
          <w:szCs w:val="24"/>
        </w:rPr>
        <w:t>sis. J Neurol 2015;262:1424-32.</w:t>
      </w:r>
    </w:p>
    <w:p w14:paraId="56A5C215" w14:textId="77777777" w:rsidR="00BE54B8" w:rsidRPr="0031788E" w:rsidRDefault="00BE54B8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0966A02D" w14:textId="77777777" w:rsidR="006A43DF" w:rsidRPr="0031788E" w:rsidRDefault="006A43DF">
      <w:pPr>
        <w:rPr>
          <w:rFonts w:ascii="Times New Roman" w:eastAsia="맑은 고딕" w:hAnsi="Times New Roman" w:cs="Times New Roman"/>
          <w:b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br w:type="page"/>
      </w:r>
    </w:p>
    <w:p w14:paraId="5A96BACC" w14:textId="67182814" w:rsidR="003B7C5D" w:rsidRPr="0031788E" w:rsidRDefault="00672306" w:rsidP="00244995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lastRenderedPageBreak/>
        <w:t>Figure legend</w:t>
      </w:r>
      <w:r w:rsidR="008F7838" w:rsidRPr="0031788E">
        <w:rPr>
          <w:rFonts w:ascii="Times New Roman" w:eastAsia="맑은 고딕" w:hAnsi="Times New Roman" w:cs="Times New Roman"/>
          <w:b/>
          <w:sz w:val="24"/>
          <w:szCs w:val="24"/>
        </w:rPr>
        <w:t>s</w:t>
      </w:r>
    </w:p>
    <w:p w14:paraId="41986B4E" w14:textId="36258C31" w:rsidR="0016269E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Fig</w:t>
      </w:r>
      <w:r w:rsidR="003B7C5D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1. </w:t>
      </w:r>
      <w:r w:rsidR="00BA01CB" w:rsidRPr="0031788E">
        <w:rPr>
          <w:rFonts w:ascii="Times New Roman" w:eastAsia="맑은 고딕" w:hAnsi="Times New Roman" w:cs="Times New Roman"/>
          <w:sz w:val="24"/>
          <w:szCs w:val="24"/>
        </w:rPr>
        <w:t>Flexion-</w:t>
      </w:r>
      <w:r w:rsidR="00EE6356" w:rsidRPr="0031788E">
        <w:rPr>
          <w:rFonts w:ascii="Times New Roman" w:eastAsia="맑은 고딕" w:hAnsi="Times New Roman" w:cs="Times New Roman"/>
          <w:sz w:val="24"/>
          <w:szCs w:val="24"/>
        </w:rPr>
        <w:t>e</w:t>
      </w:r>
      <w:r w:rsidR="00BA01CB" w:rsidRPr="0031788E">
        <w:rPr>
          <w:rFonts w:ascii="Times New Roman" w:eastAsia="맑은 고딕" w:hAnsi="Times New Roman" w:cs="Times New Roman"/>
          <w:sz w:val="24"/>
          <w:szCs w:val="24"/>
        </w:rPr>
        <w:t>xtension plain radiographs of lumbar spine show spondylolisthesis at L5</w:t>
      </w:r>
      <w:r w:rsidR="00DB5066" w:rsidRPr="0031788E">
        <w:rPr>
          <w:rFonts w:ascii="Times New Roman" w:eastAsia="맑은 고딕" w:hAnsi="Times New Roman" w:cs="Times New Roman"/>
          <w:sz w:val="24"/>
          <w:szCs w:val="24"/>
        </w:rPr>
        <w:t>–</w:t>
      </w:r>
      <w:r w:rsidR="00BA01CB" w:rsidRPr="0031788E">
        <w:rPr>
          <w:rFonts w:ascii="Times New Roman" w:eastAsia="맑은 고딕" w:hAnsi="Times New Roman" w:cs="Times New Roman"/>
          <w:sz w:val="24"/>
          <w:szCs w:val="24"/>
        </w:rPr>
        <w:t>S1 (arrows).</w:t>
      </w:r>
    </w:p>
    <w:p w14:paraId="7078F19A" w14:textId="77777777" w:rsidR="00DB5066" w:rsidRPr="0031788E" w:rsidRDefault="00DB506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3616A3DD" w14:textId="646CFDBD" w:rsidR="008F7838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Fig</w:t>
      </w:r>
      <w:r w:rsidR="00236CC5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2. Lumbar spine magnetic resonance imaging in the local hospital. (A) Axial T2-weighted image shows mild central spinal stenosis at L5</w:t>
      </w:r>
      <w:r w:rsidR="00DB5066" w:rsidRPr="0031788E">
        <w:rPr>
          <w:rFonts w:ascii="Times New Roman" w:eastAsia="맑은 고딕" w:hAnsi="Times New Roman" w:cs="Times New Roman"/>
          <w:sz w:val="24"/>
          <w:szCs w:val="24"/>
        </w:rPr>
        <w:t>–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S1 and right foraminal stenosis (arrow). (B) Sagittal T2-weighted image shows spondylolisthesis at L5</w:t>
      </w:r>
      <w:r w:rsidR="00DB5066" w:rsidRPr="0031788E">
        <w:rPr>
          <w:rFonts w:ascii="Times New Roman" w:eastAsia="맑은 고딕" w:hAnsi="Times New Roman" w:cs="Times New Roman"/>
          <w:sz w:val="24"/>
          <w:szCs w:val="24"/>
        </w:rPr>
        <w:t>–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S1 (arrow).</w:t>
      </w:r>
    </w:p>
    <w:p w14:paraId="349E8C83" w14:textId="77777777" w:rsidR="008F7838" w:rsidRPr="00244995" w:rsidRDefault="008F7838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2"/>
          <w:szCs w:val="24"/>
        </w:rPr>
        <w:sectPr w:rsidR="008F7838" w:rsidRPr="00244995" w:rsidSect="0031788E">
          <w:footerReference w:type="default" r:id="rId8"/>
          <w:pgSz w:w="11906" w:h="16838"/>
          <w:pgMar w:top="1701" w:right="1440" w:bottom="1440" w:left="1440" w:header="850" w:footer="992" w:gutter="0"/>
          <w:cols w:space="720"/>
          <w:docGrid w:linePitch="360"/>
        </w:sectPr>
      </w:pPr>
    </w:p>
    <w:p w14:paraId="798AE868" w14:textId="25A37578" w:rsidR="00D3257C" w:rsidRPr="0031788E" w:rsidRDefault="00672306" w:rsidP="00244995">
      <w:pPr>
        <w:widowControl w:val="0"/>
        <w:spacing w:before="0" w:after="0" w:line="36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lastRenderedPageBreak/>
        <w:t>Table 1. Nerve conduction study findings of right lower extremity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1984"/>
        <w:gridCol w:w="1276"/>
        <w:gridCol w:w="1276"/>
        <w:gridCol w:w="1842"/>
        <w:gridCol w:w="1560"/>
        <w:gridCol w:w="1417"/>
        <w:gridCol w:w="1776"/>
      </w:tblGrid>
      <w:tr w:rsidR="00F54854" w:rsidRPr="0031788E" w14:paraId="50387CE5" w14:textId="77777777" w:rsidTr="0031788E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EBFCD" w14:textId="35ECA789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both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Nerve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0EAF9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Site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32194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Latency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C23C6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Amplitude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54A42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Segment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E8BF5" w14:textId="74FF834F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Latency difference</w:t>
            </w:r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 (msec)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C28DE" w14:textId="20239655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Distance</w:t>
            </w:r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 (mm)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8B806" w14:textId="095D6CC8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Conduction velocity</w:t>
            </w:r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 (m/sec)</w:t>
            </w:r>
          </w:p>
        </w:tc>
      </w:tr>
      <w:tr w:rsidR="00F54854" w:rsidRPr="0031788E" w14:paraId="07546F16" w14:textId="77777777" w:rsidTr="0031788E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83CCE" w14:textId="13205EB3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Motor nerve conduction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06F4D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16BCD" w14:textId="14BB6A0F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415D75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AB1E02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AAF7A9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EBEC6E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85FD55" w14:textId="3FD4C0BE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</w:tr>
      <w:tr w:rsidR="00F54854" w:rsidRPr="0031788E" w14:paraId="72188AAA" w14:textId="77777777" w:rsidTr="0031788E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1B29B5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both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384E" w14:textId="6221432E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Peroneal nerve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DD62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Ankle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1B24B" w14:textId="6022EA8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No response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1E233" w14:textId="368C2DE3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No response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C193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18C4" w14:textId="091C1DB5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CF469" w14:textId="12EA5CDD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95EDA" w14:textId="4D1F03DD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</w:tr>
      <w:tr w:rsidR="00F54854" w:rsidRPr="0031788E" w14:paraId="2C56E66E" w14:textId="77777777" w:rsidTr="0031788E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31D62C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both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C81D0" w14:textId="7A1BD11A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CCB53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Fibula (head) by 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102ED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3.7 mV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9F46C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0.8 mV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2A128" w14:textId="3AC92612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Ankle-fibula (head)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7823" w14:textId="16AC6274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6B341" w14:textId="4F2D2B7E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7849A" w14:textId="6A8EFB8B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</w:tr>
      <w:tr w:rsidR="00F54854" w:rsidRPr="0031788E" w14:paraId="6538714B" w14:textId="77777777" w:rsidTr="0031788E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44AFD0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both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2E5AD" w14:textId="4AF2160C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Tibial nerve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1DDE9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Ankle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B1918" w14:textId="5ACE509A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5.0 ms</w:t>
            </w:r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EABAC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16.4 mV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CC49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EE73" w14:textId="1B19DB20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9B21" w14:textId="49F82195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1034C" w14:textId="6E5A2718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</w:tr>
      <w:tr w:rsidR="00F54854" w:rsidRPr="0031788E" w14:paraId="433008A9" w14:textId="77777777" w:rsidTr="0031788E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A23CF8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both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F3FA9" w14:textId="1A199628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A0212" w14:textId="51C65AC1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Popliteal fossa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E57E9" w14:textId="0EEDAE2A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13.1 ms</w:t>
            </w:r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6AB8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13.6 mV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E1651" w14:textId="41946C44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Ankle-popliteal fossa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1CD5" w14:textId="760A317C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8.1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DF784" w14:textId="00195883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370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D3828" w14:textId="676553CF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46 </w:t>
            </w:r>
          </w:p>
        </w:tc>
      </w:tr>
      <w:tr w:rsidR="00F54854" w:rsidRPr="0031788E" w14:paraId="4E7A7069" w14:textId="77777777" w:rsidTr="0031788E">
        <w:trPr>
          <w:trHeight w:val="2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39E92" w14:textId="67B3E404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Sensory nerve conduction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03EB69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45BF" w14:textId="076F6F0D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B69DB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8DC9C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435A6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E724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902BA" w14:textId="377A6D7F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</w:tr>
      <w:tr w:rsidR="00F54854" w:rsidRPr="0031788E" w14:paraId="1A435566" w14:textId="77777777" w:rsidTr="0031788E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A69745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63A8" w14:textId="4ABB3329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Superficial peroneal nerve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07E9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Lower leg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545A" w14:textId="4A633F4A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2.1 ms</w:t>
            </w:r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FF151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13 μV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96421" w14:textId="7B3F5FA4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Ankle-lower leg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0634" w14:textId="49450FE3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1C5EB" w14:textId="3304CA5D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297B8" w14:textId="36754981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</w:tr>
      <w:tr w:rsidR="00F54854" w:rsidRPr="0031788E" w14:paraId="646C6820" w14:textId="77777777" w:rsidTr="0031788E">
        <w:trPr>
          <w:trHeight w:val="2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023E6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both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FDE95" w14:textId="3405F0B5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Sural nerve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ABA44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Lower leg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8AF21" w14:textId="087FA4DA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2.1 ms</w:t>
            </w:r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33219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42 μV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5A9E4" w14:textId="797F544C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Ankle-lower leg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3949B" w14:textId="24D1E9D6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8ACB0" w14:textId="240484E5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5C67C" w14:textId="5C6B09F9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51 </w:t>
            </w:r>
          </w:p>
        </w:tc>
      </w:tr>
    </w:tbl>
    <w:p w14:paraId="7ADE2874" w14:textId="2E2394B0" w:rsidR="00D3257C" w:rsidRPr="0031788E" w:rsidRDefault="00076F79" w:rsidP="00244995">
      <w:pPr>
        <w:widowControl w:val="0"/>
        <w:spacing w:before="0" w:after="0" w:line="360" w:lineRule="auto"/>
        <w:jc w:val="both"/>
        <w:rPr>
          <w:rFonts w:ascii="Times New Roman" w:eastAsia="맑은 고딕" w:hAnsi="Times New Roman" w:cs="Times New Roman"/>
          <w:sz w:val="22"/>
          <w:szCs w:val="22"/>
        </w:rPr>
      </w:pPr>
      <w:r w:rsidRPr="0031788E">
        <w:rPr>
          <w:rFonts w:ascii="Times New Roman" w:eastAsia="맑은 고딕" w:hAnsi="Times New Roman" w:cs="Times New Roman"/>
          <w:sz w:val="22"/>
          <w:szCs w:val="22"/>
        </w:rPr>
        <w:t>TA, tibialis anterior</w:t>
      </w:r>
      <w:r w:rsidR="00F54854" w:rsidRPr="0031788E">
        <w:rPr>
          <w:rFonts w:ascii="Times New Roman" w:eastAsia="맑은 고딕" w:hAnsi="Times New Roman" w:cs="Times New Roman"/>
          <w:sz w:val="22"/>
          <w:szCs w:val="22"/>
        </w:rPr>
        <w:t>.</w:t>
      </w:r>
    </w:p>
    <w:sectPr w:rsidR="00D3257C" w:rsidRPr="0031788E" w:rsidSect="0031788E">
      <w:pgSz w:w="16838" w:h="11906" w:orient="landscape"/>
      <w:pgMar w:top="1418" w:right="1418" w:bottom="1418" w:left="1418" w:header="851" w:footer="99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1998" w16cex:dateUtc="2022-08-29T01:55:00Z"/>
  <w16cex:commentExtensible w16cex:durableId="26B72066" w16cex:dateUtc="2022-08-29T02:24:00Z"/>
  <w16cex:commentExtensible w16cex:durableId="26B71AA3" w16cex:dateUtc="2022-08-29T01:59:00Z"/>
  <w16cex:commentExtensible w16cex:durableId="26B71AA9" w16cex:dateUtc="2022-08-29T01:59:00Z"/>
  <w16cex:commentExtensible w16cex:durableId="26B72F0A" w16cex:dateUtc="2022-08-29T03:26:00Z"/>
  <w16cex:commentExtensible w16cex:durableId="26B72EC0" w16cex:dateUtc="2022-08-29T03:25:00Z"/>
  <w16cex:commentExtensible w16cex:durableId="26B71FD3" w16cex:dateUtc="2022-08-29T02:21:00Z"/>
  <w16cex:commentExtensible w16cex:durableId="26B73037" w16cex:dateUtc="2022-08-29T03:31:00Z"/>
  <w16cex:commentExtensible w16cex:durableId="26B73050" w16cex:dateUtc="2022-08-29T03:32:00Z"/>
  <w16cex:commentExtensible w16cex:durableId="26B71C6F" w16cex:dateUtc="2022-08-29T0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F94716" w16cid:durableId="26B71998"/>
  <w16cid:commentId w16cid:paraId="6AC14D38" w16cid:durableId="26B72066"/>
  <w16cid:commentId w16cid:paraId="406F5828" w16cid:durableId="26B71AA3"/>
  <w16cid:commentId w16cid:paraId="54D9654F" w16cid:durableId="26B71AA9"/>
  <w16cid:commentId w16cid:paraId="4EDA3B65" w16cid:durableId="26B72F0A"/>
  <w16cid:commentId w16cid:paraId="7F63651A" w16cid:durableId="26B72EC0"/>
  <w16cid:commentId w16cid:paraId="5D8B27D8" w16cid:durableId="26B71FD3"/>
  <w16cid:commentId w16cid:paraId="46370CED" w16cid:durableId="26B73037"/>
  <w16cid:commentId w16cid:paraId="40D5FDAF" w16cid:durableId="26B73050"/>
  <w16cid:commentId w16cid:paraId="45D80281" w16cid:durableId="26B71C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2D2B5" w14:textId="77777777" w:rsidR="00321B55" w:rsidRDefault="00321B55">
      <w:pPr>
        <w:spacing w:before="0" w:after="0" w:line="240" w:lineRule="auto"/>
      </w:pPr>
      <w:r>
        <w:separator/>
      </w:r>
    </w:p>
  </w:endnote>
  <w:endnote w:type="continuationSeparator" w:id="0">
    <w:p w14:paraId="0F9754AF" w14:textId="77777777" w:rsidR="00321B55" w:rsidRDefault="00321B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1훈프로방스 R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066106"/>
      <w:docPartObj>
        <w:docPartGallery w:val="Page Numbers (Bottom of Page)"/>
        <w:docPartUnique/>
      </w:docPartObj>
    </w:sdtPr>
    <w:sdtEndPr/>
    <w:sdtContent>
      <w:p w14:paraId="6B43EE29" w14:textId="50AA8344" w:rsidR="0031788E" w:rsidRDefault="0031788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584" w:rsidRPr="00F73584">
          <w:rPr>
            <w:noProof/>
            <w:lang w:val="ko-KR"/>
          </w:rPr>
          <w:t>7</w:t>
        </w:r>
        <w:r>
          <w:fldChar w:fldCharType="end"/>
        </w:r>
      </w:p>
    </w:sdtContent>
  </w:sdt>
  <w:p w14:paraId="6EE4B3FA" w14:textId="77777777" w:rsidR="007A4362" w:rsidRDefault="007A436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BD0BD" w14:textId="77777777" w:rsidR="00321B55" w:rsidRDefault="00321B55">
      <w:pPr>
        <w:spacing w:before="0" w:after="0" w:line="240" w:lineRule="auto"/>
      </w:pPr>
      <w:r>
        <w:separator/>
      </w:r>
    </w:p>
  </w:footnote>
  <w:footnote w:type="continuationSeparator" w:id="0">
    <w:p w14:paraId="73E2C563" w14:textId="77777777" w:rsidR="00321B55" w:rsidRDefault="00321B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5033A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D3224B8E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7CA8DF5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8696BF60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25BABBC4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A62C716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0002380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9AAB86A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DE6565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76620A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35806C2"/>
    <w:multiLevelType w:val="hybridMultilevel"/>
    <w:tmpl w:val="302EBDEA"/>
    <w:lvl w:ilvl="0" w:tplc="437E970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2E7E2658" w:tentative="1">
      <w:start w:val="1"/>
      <w:numFmt w:val="upperLetter"/>
      <w:lvlText w:val="%2."/>
      <w:lvlJc w:val="left"/>
      <w:pPr>
        <w:ind w:left="1600" w:hanging="400"/>
      </w:pPr>
    </w:lvl>
    <w:lvl w:ilvl="2" w:tplc="88661A8C" w:tentative="1">
      <w:start w:val="1"/>
      <w:numFmt w:val="lowerRoman"/>
      <w:lvlText w:val="%3."/>
      <w:lvlJc w:val="right"/>
      <w:pPr>
        <w:ind w:left="2000" w:hanging="400"/>
      </w:pPr>
    </w:lvl>
    <w:lvl w:ilvl="3" w:tplc="BAFE3FF0" w:tentative="1">
      <w:start w:val="1"/>
      <w:numFmt w:val="decimal"/>
      <w:lvlText w:val="%4."/>
      <w:lvlJc w:val="left"/>
      <w:pPr>
        <w:ind w:left="2400" w:hanging="400"/>
      </w:pPr>
    </w:lvl>
    <w:lvl w:ilvl="4" w:tplc="665401A0" w:tentative="1">
      <w:start w:val="1"/>
      <w:numFmt w:val="upperLetter"/>
      <w:lvlText w:val="%5."/>
      <w:lvlJc w:val="left"/>
      <w:pPr>
        <w:ind w:left="2800" w:hanging="400"/>
      </w:pPr>
    </w:lvl>
    <w:lvl w:ilvl="5" w:tplc="94D06C70" w:tentative="1">
      <w:start w:val="1"/>
      <w:numFmt w:val="lowerRoman"/>
      <w:lvlText w:val="%6."/>
      <w:lvlJc w:val="right"/>
      <w:pPr>
        <w:ind w:left="3200" w:hanging="400"/>
      </w:pPr>
    </w:lvl>
    <w:lvl w:ilvl="6" w:tplc="673A9E38" w:tentative="1">
      <w:start w:val="1"/>
      <w:numFmt w:val="decimal"/>
      <w:lvlText w:val="%7."/>
      <w:lvlJc w:val="left"/>
      <w:pPr>
        <w:ind w:left="3600" w:hanging="400"/>
      </w:pPr>
    </w:lvl>
    <w:lvl w:ilvl="7" w:tplc="788E7B24" w:tentative="1">
      <w:start w:val="1"/>
      <w:numFmt w:val="upperLetter"/>
      <w:lvlText w:val="%8."/>
      <w:lvlJc w:val="left"/>
      <w:pPr>
        <w:ind w:left="4000" w:hanging="400"/>
      </w:pPr>
    </w:lvl>
    <w:lvl w:ilvl="8" w:tplc="83FE0694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69C5056B"/>
    <w:multiLevelType w:val="hybridMultilevel"/>
    <w:tmpl w:val="A07AFE28"/>
    <w:lvl w:ilvl="0" w:tplc="F3A83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A56CA2CC" w:tentative="1">
      <w:start w:val="1"/>
      <w:numFmt w:val="upperLetter"/>
      <w:lvlText w:val="%2."/>
      <w:lvlJc w:val="left"/>
      <w:pPr>
        <w:ind w:left="1200" w:hanging="400"/>
      </w:pPr>
    </w:lvl>
    <w:lvl w:ilvl="2" w:tplc="DBA6FC0E" w:tentative="1">
      <w:start w:val="1"/>
      <w:numFmt w:val="lowerRoman"/>
      <w:lvlText w:val="%3."/>
      <w:lvlJc w:val="right"/>
      <w:pPr>
        <w:ind w:left="1600" w:hanging="400"/>
      </w:pPr>
    </w:lvl>
    <w:lvl w:ilvl="3" w:tplc="4648BFEE" w:tentative="1">
      <w:start w:val="1"/>
      <w:numFmt w:val="decimal"/>
      <w:lvlText w:val="%4."/>
      <w:lvlJc w:val="left"/>
      <w:pPr>
        <w:ind w:left="2000" w:hanging="400"/>
      </w:pPr>
    </w:lvl>
    <w:lvl w:ilvl="4" w:tplc="83641F80" w:tentative="1">
      <w:start w:val="1"/>
      <w:numFmt w:val="upperLetter"/>
      <w:lvlText w:val="%5."/>
      <w:lvlJc w:val="left"/>
      <w:pPr>
        <w:ind w:left="2400" w:hanging="400"/>
      </w:pPr>
    </w:lvl>
    <w:lvl w:ilvl="5" w:tplc="C7D0EDB2" w:tentative="1">
      <w:start w:val="1"/>
      <w:numFmt w:val="lowerRoman"/>
      <w:lvlText w:val="%6."/>
      <w:lvlJc w:val="right"/>
      <w:pPr>
        <w:ind w:left="2800" w:hanging="400"/>
      </w:pPr>
    </w:lvl>
    <w:lvl w:ilvl="6" w:tplc="81B81274" w:tentative="1">
      <w:start w:val="1"/>
      <w:numFmt w:val="decimal"/>
      <w:lvlText w:val="%7."/>
      <w:lvlJc w:val="left"/>
      <w:pPr>
        <w:ind w:left="3200" w:hanging="400"/>
      </w:pPr>
    </w:lvl>
    <w:lvl w:ilvl="7" w:tplc="65E22480" w:tentative="1">
      <w:start w:val="1"/>
      <w:numFmt w:val="upperLetter"/>
      <w:lvlText w:val="%8."/>
      <w:lvlJc w:val="left"/>
      <w:pPr>
        <w:ind w:left="3600" w:hanging="400"/>
      </w:pPr>
    </w:lvl>
    <w:lvl w:ilvl="8" w:tplc="BFAE24FC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GrammaticalErrors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NDQyNTYxNDOzMDJT0lEKTi0uzszPAykwrAUADIakxywAAAA="/>
  </w:docVars>
  <w:rsids>
    <w:rsidRoot w:val="00920F44"/>
    <w:rsid w:val="000058AE"/>
    <w:rsid w:val="00006A6F"/>
    <w:rsid w:val="00030884"/>
    <w:rsid w:val="00037568"/>
    <w:rsid w:val="00051372"/>
    <w:rsid w:val="00055636"/>
    <w:rsid w:val="000566C8"/>
    <w:rsid w:val="0006213A"/>
    <w:rsid w:val="00076F79"/>
    <w:rsid w:val="00085A77"/>
    <w:rsid w:val="00086D31"/>
    <w:rsid w:val="0009579F"/>
    <w:rsid w:val="000A00D0"/>
    <w:rsid w:val="000C2DD1"/>
    <w:rsid w:val="000C6451"/>
    <w:rsid w:val="000D4176"/>
    <w:rsid w:val="00125E8E"/>
    <w:rsid w:val="0013455F"/>
    <w:rsid w:val="0013733C"/>
    <w:rsid w:val="00144EA9"/>
    <w:rsid w:val="0016269E"/>
    <w:rsid w:val="00170F17"/>
    <w:rsid w:val="0017318A"/>
    <w:rsid w:val="0018248A"/>
    <w:rsid w:val="001A361B"/>
    <w:rsid w:val="001A36DC"/>
    <w:rsid w:val="001D30EE"/>
    <w:rsid w:val="0023048C"/>
    <w:rsid w:val="00232117"/>
    <w:rsid w:val="00236CC5"/>
    <w:rsid w:val="00237347"/>
    <w:rsid w:val="00244995"/>
    <w:rsid w:val="00246099"/>
    <w:rsid w:val="002549E4"/>
    <w:rsid w:val="00255221"/>
    <w:rsid w:val="0026425E"/>
    <w:rsid w:val="00264B2F"/>
    <w:rsid w:val="00271105"/>
    <w:rsid w:val="002719B7"/>
    <w:rsid w:val="002C1DF5"/>
    <w:rsid w:val="002C6679"/>
    <w:rsid w:val="002C67EC"/>
    <w:rsid w:val="002E4654"/>
    <w:rsid w:val="0031788E"/>
    <w:rsid w:val="00321B55"/>
    <w:rsid w:val="00327DE0"/>
    <w:rsid w:val="00334058"/>
    <w:rsid w:val="00367650"/>
    <w:rsid w:val="0037225F"/>
    <w:rsid w:val="00373AAF"/>
    <w:rsid w:val="00373DA6"/>
    <w:rsid w:val="00377577"/>
    <w:rsid w:val="00383F15"/>
    <w:rsid w:val="003A2AC1"/>
    <w:rsid w:val="003B22B5"/>
    <w:rsid w:val="003B7C5D"/>
    <w:rsid w:val="003C3D69"/>
    <w:rsid w:val="003D777C"/>
    <w:rsid w:val="003F7987"/>
    <w:rsid w:val="0041430D"/>
    <w:rsid w:val="004147A9"/>
    <w:rsid w:val="00415A72"/>
    <w:rsid w:val="00424412"/>
    <w:rsid w:val="00447267"/>
    <w:rsid w:val="00463883"/>
    <w:rsid w:val="0047236F"/>
    <w:rsid w:val="004816D5"/>
    <w:rsid w:val="00483C81"/>
    <w:rsid w:val="004B5776"/>
    <w:rsid w:val="00501C7B"/>
    <w:rsid w:val="00502284"/>
    <w:rsid w:val="00506151"/>
    <w:rsid w:val="0050774F"/>
    <w:rsid w:val="00512C6C"/>
    <w:rsid w:val="0051629A"/>
    <w:rsid w:val="0051682D"/>
    <w:rsid w:val="005223C3"/>
    <w:rsid w:val="00525AF8"/>
    <w:rsid w:val="00525F9A"/>
    <w:rsid w:val="00541AA2"/>
    <w:rsid w:val="00546D78"/>
    <w:rsid w:val="0055145F"/>
    <w:rsid w:val="00561A0A"/>
    <w:rsid w:val="00565E53"/>
    <w:rsid w:val="00571FB8"/>
    <w:rsid w:val="00574302"/>
    <w:rsid w:val="00595DE0"/>
    <w:rsid w:val="005A3EA2"/>
    <w:rsid w:val="005B5F10"/>
    <w:rsid w:val="005C54DE"/>
    <w:rsid w:val="005D215E"/>
    <w:rsid w:val="005D76E5"/>
    <w:rsid w:val="005E3F96"/>
    <w:rsid w:val="005E6D55"/>
    <w:rsid w:val="005F5F61"/>
    <w:rsid w:val="005F73A1"/>
    <w:rsid w:val="0063157E"/>
    <w:rsid w:val="00640340"/>
    <w:rsid w:val="006403F2"/>
    <w:rsid w:val="00650DF6"/>
    <w:rsid w:val="00672306"/>
    <w:rsid w:val="006749FC"/>
    <w:rsid w:val="006863CD"/>
    <w:rsid w:val="006965EF"/>
    <w:rsid w:val="006A0E37"/>
    <w:rsid w:val="006A255A"/>
    <w:rsid w:val="006A43DF"/>
    <w:rsid w:val="006A4E55"/>
    <w:rsid w:val="006A5292"/>
    <w:rsid w:val="006B2FB1"/>
    <w:rsid w:val="006B545E"/>
    <w:rsid w:val="006C3A30"/>
    <w:rsid w:val="006E3B3A"/>
    <w:rsid w:val="006E535E"/>
    <w:rsid w:val="00700484"/>
    <w:rsid w:val="00704863"/>
    <w:rsid w:val="007103EC"/>
    <w:rsid w:val="00766214"/>
    <w:rsid w:val="00766468"/>
    <w:rsid w:val="0077368D"/>
    <w:rsid w:val="00774CFD"/>
    <w:rsid w:val="007910AC"/>
    <w:rsid w:val="007A4362"/>
    <w:rsid w:val="007A5774"/>
    <w:rsid w:val="007B49DD"/>
    <w:rsid w:val="007D0C78"/>
    <w:rsid w:val="007F07FF"/>
    <w:rsid w:val="007F4BD2"/>
    <w:rsid w:val="008006B9"/>
    <w:rsid w:val="00805F2B"/>
    <w:rsid w:val="008062BD"/>
    <w:rsid w:val="00811065"/>
    <w:rsid w:val="008112A8"/>
    <w:rsid w:val="00821581"/>
    <w:rsid w:val="0084571B"/>
    <w:rsid w:val="00871323"/>
    <w:rsid w:val="00874D42"/>
    <w:rsid w:val="008932D2"/>
    <w:rsid w:val="008966EF"/>
    <w:rsid w:val="008F7838"/>
    <w:rsid w:val="00900043"/>
    <w:rsid w:val="00920F44"/>
    <w:rsid w:val="00935B04"/>
    <w:rsid w:val="009367EC"/>
    <w:rsid w:val="00953696"/>
    <w:rsid w:val="009643FE"/>
    <w:rsid w:val="00984918"/>
    <w:rsid w:val="00986A58"/>
    <w:rsid w:val="009A26F1"/>
    <w:rsid w:val="009C5552"/>
    <w:rsid w:val="009E1C43"/>
    <w:rsid w:val="009E34AC"/>
    <w:rsid w:val="009E6A9A"/>
    <w:rsid w:val="009F08F8"/>
    <w:rsid w:val="00A2517A"/>
    <w:rsid w:val="00A76669"/>
    <w:rsid w:val="00A76FE8"/>
    <w:rsid w:val="00A860D5"/>
    <w:rsid w:val="00A93450"/>
    <w:rsid w:val="00A9565D"/>
    <w:rsid w:val="00A97989"/>
    <w:rsid w:val="00AA644D"/>
    <w:rsid w:val="00AC17A6"/>
    <w:rsid w:val="00AD2D34"/>
    <w:rsid w:val="00AD7DD3"/>
    <w:rsid w:val="00AE6076"/>
    <w:rsid w:val="00AF7AE0"/>
    <w:rsid w:val="00B02CCC"/>
    <w:rsid w:val="00B036C2"/>
    <w:rsid w:val="00B075DF"/>
    <w:rsid w:val="00B133AB"/>
    <w:rsid w:val="00B15445"/>
    <w:rsid w:val="00B1644E"/>
    <w:rsid w:val="00B24155"/>
    <w:rsid w:val="00B40B49"/>
    <w:rsid w:val="00B411DA"/>
    <w:rsid w:val="00B53F53"/>
    <w:rsid w:val="00B6532D"/>
    <w:rsid w:val="00B65D8B"/>
    <w:rsid w:val="00B67161"/>
    <w:rsid w:val="00B723CC"/>
    <w:rsid w:val="00B77BF0"/>
    <w:rsid w:val="00B8181F"/>
    <w:rsid w:val="00B82EBD"/>
    <w:rsid w:val="00B91BA0"/>
    <w:rsid w:val="00BA01CB"/>
    <w:rsid w:val="00BA3F8B"/>
    <w:rsid w:val="00BB61FA"/>
    <w:rsid w:val="00BC6E2A"/>
    <w:rsid w:val="00BE54B8"/>
    <w:rsid w:val="00BF51FD"/>
    <w:rsid w:val="00C17594"/>
    <w:rsid w:val="00C2201B"/>
    <w:rsid w:val="00C23C48"/>
    <w:rsid w:val="00C2614A"/>
    <w:rsid w:val="00C27E5C"/>
    <w:rsid w:val="00C31A68"/>
    <w:rsid w:val="00C53295"/>
    <w:rsid w:val="00C661B5"/>
    <w:rsid w:val="00C71DB3"/>
    <w:rsid w:val="00C77115"/>
    <w:rsid w:val="00C77B38"/>
    <w:rsid w:val="00C902F3"/>
    <w:rsid w:val="00C9520B"/>
    <w:rsid w:val="00CA6489"/>
    <w:rsid w:val="00CC7C1B"/>
    <w:rsid w:val="00CD5676"/>
    <w:rsid w:val="00CE4807"/>
    <w:rsid w:val="00D0169E"/>
    <w:rsid w:val="00D0439F"/>
    <w:rsid w:val="00D13168"/>
    <w:rsid w:val="00D3257C"/>
    <w:rsid w:val="00D57A6E"/>
    <w:rsid w:val="00D856E1"/>
    <w:rsid w:val="00D8632F"/>
    <w:rsid w:val="00DA22F2"/>
    <w:rsid w:val="00DA3B82"/>
    <w:rsid w:val="00DA7674"/>
    <w:rsid w:val="00DB1FED"/>
    <w:rsid w:val="00DB5066"/>
    <w:rsid w:val="00DC5A81"/>
    <w:rsid w:val="00DF2E5C"/>
    <w:rsid w:val="00DF5770"/>
    <w:rsid w:val="00E16F93"/>
    <w:rsid w:val="00E2235D"/>
    <w:rsid w:val="00E24B22"/>
    <w:rsid w:val="00E26AA8"/>
    <w:rsid w:val="00E360DE"/>
    <w:rsid w:val="00E41C03"/>
    <w:rsid w:val="00E42804"/>
    <w:rsid w:val="00E62108"/>
    <w:rsid w:val="00E71AF9"/>
    <w:rsid w:val="00E83EE1"/>
    <w:rsid w:val="00E84F5A"/>
    <w:rsid w:val="00E90D3E"/>
    <w:rsid w:val="00E97F5C"/>
    <w:rsid w:val="00EB7629"/>
    <w:rsid w:val="00EC20A2"/>
    <w:rsid w:val="00EC3368"/>
    <w:rsid w:val="00EE40A2"/>
    <w:rsid w:val="00EE6356"/>
    <w:rsid w:val="00EF0649"/>
    <w:rsid w:val="00F35692"/>
    <w:rsid w:val="00F41369"/>
    <w:rsid w:val="00F54854"/>
    <w:rsid w:val="00F64E26"/>
    <w:rsid w:val="00F64FCD"/>
    <w:rsid w:val="00F73584"/>
    <w:rsid w:val="00F747B2"/>
    <w:rsid w:val="00F80104"/>
    <w:rsid w:val="00FA5F48"/>
    <w:rsid w:val="00FC374B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EA6B"/>
  <w15:docId w15:val="{374FED77-C924-4B07-BB2C-ED42630A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2B"/>
  </w:style>
  <w:style w:type="paragraph" w:styleId="1">
    <w:name w:val="heading 1"/>
    <w:basedOn w:val="a"/>
    <w:next w:val="a"/>
    <w:link w:val="1Char"/>
    <w:uiPriority w:val="9"/>
    <w:qFormat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203864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Pr>
      <w:caps/>
      <w:color w:val="FFFFFF"/>
      <w:spacing w:val="15"/>
      <w:sz w:val="22"/>
      <w:szCs w:val="22"/>
      <w:shd w:val="clear" w:color="auto" w:fill="4472C4" w:themeFill="accent1"/>
    </w:rPr>
  </w:style>
  <w:style w:type="character" w:customStyle="1" w:styleId="2Char">
    <w:name w:val="제목 2 Char"/>
    <w:basedOn w:val="a0"/>
    <w:link w:val="2"/>
    <w:uiPriority w:val="9"/>
    <w:rPr>
      <w:caps/>
      <w:spacing w:val="15"/>
      <w:shd w:val="clear" w:color="auto" w:fill="D9E2F3" w:themeFill="accent1" w:themeFillTint="33"/>
    </w:rPr>
  </w:style>
  <w:style w:type="character" w:customStyle="1" w:styleId="3Char">
    <w:name w:val="제목 3 Char"/>
    <w:basedOn w:val="a0"/>
    <w:link w:val="3"/>
    <w:uiPriority w:val="9"/>
    <w:semiHidden/>
    <w:rPr>
      <w:caps/>
      <w:color w:val="203864"/>
      <w:spacing w:val="15"/>
    </w:rPr>
  </w:style>
  <w:style w:type="character" w:customStyle="1" w:styleId="4Char">
    <w:name w:val="제목 4 Char"/>
    <w:basedOn w:val="a0"/>
    <w:link w:val="4"/>
    <w:uiPriority w:val="9"/>
    <w:semiHidden/>
    <w:rPr>
      <w:caps/>
      <w:color w:val="2F5496"/>
      <w:spacing w:val="10"/>
    </w:rPr>
  </w:style>
  <w:style w:type="character" w:customStyle="1" w:styleId="5Char">
    <w:name w:val="제목 5 Char"/>
    <w:basedOn w:val="a0"/>
    <w:link w:val="5"/>
    <w:uiPriority w:val="9"/>
    <w:semiHidden/>
    <w:rPr>
      <w:caps/>
      <w:color w:val="2F5496"/>
      <w:spacing w:val="10"/>
    </w:rPr>
  </w:style>
  <w:style w:type="character" w:customStyle="1" w:styleId="6Char">
    <w:name w:val="제목 6 Char"/>
    <w:basedOn w:val="a0"/>
    <w:link w:val="6"/>
    <w:uiPriority w:val="9"/>
    <w:semiHidden/>
    <w:rPr>
      <w:caps/>
      <w:color w:val="2F5496"/>
      <w:spacing w:val="10"/>
    </w:rPr>
  </w:style>
  <w:style w:type="character" w:customStyle="1" w:styleId="7Char">
    <w:name w:val="제목 7 Char"/>
    <w:basedOn w:val="a0"/>
    <w:link w:val="7"/>
    <w:uiPriority w:val="9"/>
    <w:semiHidden/>
    <w:rPr>
      <w:caps/>
      <w:color w:val="2F5496"/>
      <w:spacing w:val="10"/>
    </w:rPr>
  </w:style>
  <w:style w:type="character" w:customStyle="1" w:styleId="8Char">
    <w:name w:val="제목 8 Char"/>
    <w:basedOn w:val="a0"/>
    <w:link w:val="8"/>
    <w:uiPriority w:val="9"/>
    <w:semiHidden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2F5496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4472C4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0"/>
    <w:rPr>
      <w:rFonts w:asciiTheme="majorHAnsi" w:eastAsiaTheme="majorEastAsia" w:hAnsiTheme="majorHAnsi" w:cstheme="majorBidi"/>
      <w:caps/>
      <w:color w:val="4472C4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Char0">
    <w:name w:val="부제 Char"/>
    <w:basedOn w:val="a0"/>
    <w:link w:val="a5"/>
    <w:uiPriority w:val="11"/>
    <w:rPr>
      <w:caps/>
      <w:color w:val="595959"/>
      <w:spacing w:val="10"/>
      <w:sz w:val="21"/>
      <w:szCs w:val="21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uiPriority w:val="20"/>
    <w:qFormat/>
    <w:rPr>
      <w:caps/>
      <w:color w:val="203864"/>
      <w:spacing w:val="5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Pr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Char2">
    <w:name w:val="강한 인용 Char"/>
    <w:basedOn w:val="a0"/>
    <w:link w:val="aa"/>
    <w:uiPriority w:val="30"/>
    <w:rPr>
      <w:color w:val="4472C4"/>
      <w:sz w:val="24"/>
      <w:szCs w:val="24"/>
    </w:rPr>
  </w:style>
  <w:style w:type="character" w:styleId="ab">
    <w:name w:val="Subtle Emphasis"/>
    <w:uiPriority w:val="19"/>
    <w:qFormat/>
    <w:rPr>
      <w:i/>
      <w:iCs/>
      <w:color w:val="203864"/>
    </w:rPr>
  </w:style>
  <w:style w:type="character" w:styleId="ac">
    <w:name w:val="Intense Emphasis"/>
    <w:uiPriority w:val="21"/>
    <w:qFormat/>
    <w:rPr>
      <w:b/>
      <w:bCs/>
      <w:caps/>
      <w:color w:val="203864"/>
      <w:spacing w:val="10"/>
    </w:rPr>
  </w:style>
  <w:style w:type="character" w:styleId="ad">
    <w:name w:val="Subtle Reference"/>
    <w:uiPriority w:val="31"/>
    <w:qFormat/>
    <w:rPr>
      <w:b/>
      <w:bCs/>
      <w:color w:val="4472C4"/>
    </w:rPr>
  </w:style>
  <w:style w:type="character" w:styleId="ae">
    <w:name w:val="Intense Reference"/>
    <w:uiPriority w:val="32"/>
    <w:qFormat/>
    <w:rPr>
      <w:b/>
      <w:bCs/>
      <w:i/>
      <w:iCs/>
      <w:caps/>
      <w:color w:val="4472C4"/>
    </w:rPr>
  </w:style>
  <w:style w:type="character" w:styleId="af">
    <w:name w:val="Book Title"/>
    <w:uiPriority w:val="33"/>
    <w:qFormat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List Paragraph"/>
    <w:basedOn w:val="a"/>
    <w:uiPriority w:val="34"/>
    <w:qFormat/>
    <w:pPr>
      <w:ind w:leftChars="400" w:left="800"/>
    </w:pPr>
  </w:style>
  <w:style w:type="character" w:styleId="af1">
    <w:name w:val="Hyperlink"/>
    <w:basedOn w:val="a0"/>
    <w:uiPriority w:val="99"/>
    <w:unhideWhenUsed/>
    <w:rPr>
      <w:color w:val="0563C1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a0"/>
  </w:style>
  <w:style w:type="character" w:customStyle="1" w:styleId="highwire-citation-author">
    <w:name w:val="highwire-citation-author"/>
    <w:basedOn w:val="a0"/>
  </w:style>
  <w:style w:type="character" w:customStyle="1" w:styleId="nlm-surname">
    <w:name w:val="nlm-surname"/>
    <w:basedOn w:val="a0"/>
  </w:style>
  <w:style w:type="character" w:customStyle="1" w:styleId="citation-et">
    <w:name w:val="citation-et"/>
    <w:basedOn w:val="a0"/>
  </w:style>
  <w:style w:type="character" w:customStyle="1" w:styleId="highwire-cite-metadata-journal">
    <w:name w:val="highwire-cite-metadata-journal"/>
    <w:basedOn w:val="a0"/>
  </w:style>
  <w:style w:type="character" w:customStyle="1" w:styleId="highwire-cite-metadata-year">
    <w:name w:val="highwire-cite-metadata-year"/>
    <w:basedOn w:val="a0"/>
  </w:style>
  <w:style w:type="character" w:customStyle="1" w:styleId="highwire-cite-metadata-volume">
    <w:name w:val="highwire-cite-metadata-volume"/>
    <w:basedOn w:val="a0"/>
  </w:style>
  <w:style w:type="character" w:customStyle="1" w:styleId="highwire-cite-metadata-pages">
    <w:name w:val="highwire-cite-metadata-pages"/>
    <w:basedOn w:val="a0"/>
  </w:style>
  <w:style w:type="paragraph" w:styleId="HTML">
    <w:name w:val="HTML Preformatted"/>
    <w:basedOn w:val="a"/>
    <w:link w:val="HTMLChar"/>
    <w:uiPriority w:val="99"/>
    <w:semiHidden/>
    <w:unhideWhenUsed/>
    <w:rsid w:val="00D0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D0439F"/>
    <w:rPr>
      <w:rFonts w:ascii="Courier New" w:hAnsi="Courier New" w:cs="Courier New"/>
    </w:rPr>
  </w:style>
  <w:style w:type="character" w:customStyle="1" w:styleId="y2iqfc">
    <w:name w:val="y2iqfc"/>
    <w:basedOn w:val="a0"/>
    <w:rsid w:val="00D0439F"/>
  </w:style>
  <w:style w:type="character" w:styleId="af2">
    <w:name w:val="line number"/>
    <w:basedOn w:val="a0"/>
    <w:uiPriority w:val="99"/>
    <w:semiHidden/>
    <w:unhideWhenUsed/>
    <w:rsid w:val="00B65D8B"/>
  </w:style>
  <w:style w:type="paragraph" w:customStyle="1" w:styleId="af3">
    <w:name w:val="바탕글"/>
    <w:basedOn w:val="a"/>
    <w:rsid w:val="00561A0A"/>
    <w:pPr>
      <w:wordWrap w:val="0"/>
      <w:autoSpaceDE w:val="0"/>
      <w:autoSpaceDN w:val="0"/>
      <w:spacing w:before="0" w:after="0" w:line="384" w:lineRule="auto"/>
      <w:jc w:val="both"/>
    </w:pPr>
    <w:rPr>
      <w:rFonts w:ascii="함초롬바탕" w:eastAsia="굴림" w:hAnsi="굴림" w:cs="굴림"/>
      <w:color w:val="000000"/>
    </w:rPr>
  </w:style>
  <w:style w:type="character" w:customStyle="1" w:styleId="20">
    <w:name w:val="확인되지 않은 멘션2"/>
    <w:basedOn w:val="a0"/>
    <w:uiPriority w:val="99"/>
    <w:rsid w:val="00561A0A"/>
    <w:rPr>
      <w:color w:val="605E5C"/>
      <w:shd w:val="clear" w:color="auto" w:fill="E1DFDD"/>
    </w:rPr>
  </w:style>
  <w:style w:type="paragraph" w:styleId="af4">
    <w:name w:val="header"/>
    <w:basedOn w:val="a"/>
    <w:link w:val="Char3"/>
    <w:uiPriority w:val="99"/>
    <w:unhideWhenUsed/>
    <w:rsid w:val="007A436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4"/>
    <w:uiPriority w:val="99"/>
    <w:rsid w:val="007A4362"/>
  </w:style>
  <w:style w:type="paragraph" w:styleId="af5">
    <w:name w:val="footer"/>
    <w:basedOn w:val="a"/>
    <w:link w:val="Char4"/>
    <w:uiPriority w:val="99"/>
    <w:unhideWhenUsed/>
    <w:rsid w:val="007A4362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5"/>
    <w:uiPriority w:val="99"/>
    <w:rsid w:val="007A4362"/>
  </w:style>
  <w:style w:type="paragraph" w:styleId="af6">
    <w:name w:val="Balloon Text"/>
    <w:basedOn w:val="a"/>
    <w:link w:val="Char5"/>
    <w:uiPriority w:val="99"/>
    <w:semiHidden/>
    <w:unhideWhenUsed/>
    <w:rsid w:val="003B7C5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6"/>
    <w:uiPriority w:val="99"/>
    <w:semiHidden/>
    <w:rsid w:val="003B7C5D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7"/>
    <w:rsid w:val="007B49D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rsid w:val="000F3DF7"/>
    <w:rPr>
      <w:sz w:val="16"/>
      <w:szCs w:val="16"/>
    </w:rPr>
  </w:style>
  <w:style w:type="paragraph" w:styleId="af9">
    <w:name w:val="annotation text"/>
    <w:basedOn w:val="a"/>
    <w:link w:val="Char6"/>
    <w:uiPriority w:val="99"/>
    <w:unhideWhenUsed/>
    <w:rsid w:val="00805F2B"/>
    <w:pPr>
      <w:spacing w:line="240" w:lineRule="auto"/>
    </w:pPr>
    <w:rPr>
      <w:rFonts w:eastAsiaTheme="minorHAnsi"/>
    </w:rPr>
  </w:style>
  <w:style w:type="character" w:customStyle="1" w:styleId="Char6">
    <w:name w:val="메모 텍스트 Char"/>
    <w:basedOn w:val="a0"/>
    <w:link w:val="af9"/>
    <w:uiPriority w:val="99"/>
    <w:rsid w:val="00805F2B"/>
    <w:rPr>
      <w:rFonts w:eastAsiaTheme="minorHAnsi"/>
    </w:rPr>
  </w:style>
  <w:style w:type="paragraph" w:styleId="afa">
    <w:name w:val="annotation subject"/>
    <w:basedOn w:val="af9"/>
    <w:next w:val="af9"/>
    <w:link w:val="Char7"/>
    <w:uiPriority w:val="99"/>
    <w:semiHidden/>
    <w:unhideWhenUsed/>
    <w:rsid w:val="00E84F5A"/>
    <w:rPr>
      <w:b/>
      <w:bCs/>
    </w:rPr>
  </w:style>
  <w:style w:type="character" w:customStyle="1" w:styleId="Char7">
    <w:name w:val="메모 주제 Char"/>
    <w:basedOn w:val="Char6"/>
    <w:link w:val="afa"/>
    <w:uiPriority w:val="99"/>
    <w:semiHidden/>
    <w:rsid w:val="00E84F5A"/>
    <w:rPr>
      <w:rFonts w:eastAsiaTheme="minorHAnsi"/>
      <w:b/>
      <w:bCs/>
    </w:rPr>
  </w:style>
  <w:style w:type="paragraph" w:styleId="afb">
    <w:name w:val="Revision"/>
    <w:hidden/>
    <w:uiPriority w:val="99"/>
    <w:semiHidden/>
    <w:rsid w:val="007103EC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사용자 지정 4">
      <a:majorFont>
        <a:latin typeface="1훈프로방스 R"/>
        <a:ea typeface="1훈프로방스 R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맑은 고딕"/>
        <a:ea typeface="맑은 고딕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886A33-BAE2-4A21-BBE2-E5EE5839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iLee</cp:lastModifiedBy>
  <cp:revision>6</cp:revision>
  <dcterms:created xsi:type="dcterms:W3CDTF">2022-12-12T04:52:00Z</dcterms:created>
  <dcterms:modified xsi:type="dcterms:W3CDTF">2024-01-04T05:00:00Z</dcterms:modified>
  <cp:version>1100.0100.01</cp:version>
</cp:coreProperties>
</file>